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F2429" w14:textId="6C617EF1" w:rsidR="00B85A66" w:rsidRPr="00B85A66" w:rsidRDefault="00B85A66" w:rsidP="00B85A66">
      <w:pPr>
        <w:ind w:firstLineChars="200" w:firstLine="440"/>
        <w:rPr>
          <w:rFonts w:ascii="Times New Roman" w:hAnsi="Times New Roman" w:cs="Times New Roman"/>
        </w:rPr>
      </w:pPr>
      <w:bookmarkStart w:id="0" w:name="_Toc198114549"/>
      <w:r w:rsidRPr="00B85A66">
        <w:rPr>
          <w:rFonts w:ascii="Times New Roman" w:hAnsi="Times New Roman" w:cs="Times New Roman"/>
        </w:rPr>
        <w:t>To construct the index model, the following steps were taken: First, data collection and sample selection to build a valid sample database of local integrated early childhood education and care (ECEC) policy texts. Second, extraction of key policy content to form primary, secondary, and tertiary indicators. Third, construction of the PMC evaluation index system. Fourth, calculation and grading of the PMC index, along with the construction of surface plots.</w:t>
      </w:r>
    </w:p>
    <w:p w14:paraId="6DB54263" w14:textId="77777777"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(I) Data Collection and Sample Selection</w:t>
      </w:r>
    </w:p>
    <w:p w14:paraId="774A8F00" w14:textId="064705C6"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The study focuses on local integrated ECEC policies in China.</w:t>
      </w:r>
    </w:p>
    <w:p w14:paraId="42D6C478" w14:textId="06B714C1"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 xml:space="preserve">Based on the current status of policy issuance across regions, the search timeframe for policies was set from 2018 to January 2025. Adhering to the principles of completeness, relevance, and representativeness, keywords such as </w:t>
      </w:r>
      <w:r w:rsidRPr="00B85A66">
        <w:rPr>
          <w:rFonts w:ascii="Times New Roman" w:hAnsi="Times New Roman" w:cs="Times New Roman"/>
        </w:rPr>
        <w:t>“</w:t>
      </w:r>
      <w:r w:rsidRPr="00B85A66">
        <w:rPr>
          <w:rFonts w:ascii="Times New Roman" w:hAnsi="Times New Roman" w:cs="Times New Roman"/>
        </w:rPr>
        <w:t>integration of early childhood education and care (</w:t>
      </w:r>
      <w:r w:rsidRPr="00B85A66">
        <w:rPr>
          <w:rFonts w:ascii="Times New Roman" w:hAnsi="Times New Roman" w:cs="Times New Roman"/>
        </w:rPr>
        <w:t>托幼一体化</w:t>
      </w:r>
      <w:r w:rsidRPr="00B85A66">
        <w:rPr>
          <w:rFonts w:ascii="Times New Roman" w:hAnsi="Times New Roman" w:cs="Times New Roman"/>
        </w:rPr>
        <w:t>)</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ECEC (</w:t>
      </w:r>
      <w:r w:rsidRPr="00B85A66">
        <w:rPr>
          <w:rFonts w:ascii="Times New Roman" w:hAnsi="Times New Roman" w:cs="Times New Roman"/>
        </w:rPr>
        <w:t>托幼</w:t>
      </w:r>
      <w:r w:rsidRPr="00B85A66">
        <w:rPr>
          <w:rFonts w:ascii="Times New Roman" w:hAnsi="Times New Roman" w:cs="Times New Roman"/>
        </w:rPr>
        <w:t>)</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childcare (</w:t>
      </w:r>
      <w:r w:rsidRPr="00B85A66">
        <w:rPr>
          <w:rFonts w:ascii="Times New Roman" w:hAnsi="Times New Roman" w:cs="Times New Roman"/>
        </w:rPr>
        <w:t>托育</w:t>
      </w:r>
      <w:r w:rsidRPr="00B85A66">
        <w:rPr>
          <w:rFonts w:ascii="Times New Roman" w:hAnsi="Times New Roman" w:cs="Times New Roman"/>
        </w:rPr>
        <w:t>)</w:t>
      </w:r>
      <w:r w:rsidRPr="00B85A66">
        <w:rPr>
          <w:rFonts w:ascii="Times New Roman" w:hAnsi="Times New Roman" w:cs="Times New Roman"/>
        </w:rPr>
        <w:t>”</w:t>
      </w:r>
      <w:r w:rsidRPr="00B85A66">
        <w:rPr>
          <w:rFonts w:ascii="Times New Roman" w:hAnsi="Times New Roman" w:cs="Times New Roman"/>
        </w:rPr>
        <w:t xml:space="preserve"> were sequentially used to search for policy texts related to ECEC integration.</w:t>
      </w:r>
    </w:p>
    <w:p w14:paraId="4CC48133" w14:textId="2D1CEDAE"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 xml:space="preserve">First, keyword searches were conducted via the government information disclosure sections, policy and regulation columns, and relevant government document databases on Party Committee and government portals, education commission websites, health commission websites, and the </w:t>
      </w:r>
      <w:r w:rsidRPr="00B85A66">
        <w:rPr>
          <w:rFonts w:ascii="Times New Roman" w:hAnsi="Times New Roman" w:cs="Times New Roman"/>
        </w:rPr>
        <w:t>“</w:t>
      </w:r>
      <w:r w:rsidRPr="00B85A66">
        <w:rPr>
          <w:rFonts w:ascii="Times New Roman" w:hAnsi="Times New Roman" w:cs="Times New Roman"/>
        </w:rPr>
        <w:t>PKULAW Database.</w:t>
      </w:r>
      <w:r w:rsidRPr="00B85A66">
        <w:rPr>
          <w:rFonts w:ascii="Times New Roman" w:hAnsi="Times New Roman" w:cs="Times New Roman"/>
        </w:rPr>
        <w:t>”</w:t>
      </w:r>
      <w:r w:rsidRPr="00B85A66">
        <w:rPr>
          <w:rFonts w:ascii="Times New Roman" w:hAnsi="Times New Roman" w:cs="Times New Roman"/>
        </w:rPr>
        <w:t xml:space="preserve"> Information on policy documents related to ECEC integration was uniformly screened to establish an initial policy document database.</w:t>
      </w:r>
    </w:p>
    <w:p w14:paraId="1500743D" w14:textId="32A21A60"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Second, the initial policy document database was filtered according to specific criteria:</w:t>
      </w:r>
    </w:p>
    <w:p w14:paraId="0E11B87F" w14:textId="0FDA95C4"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The policy theme must be directly related to ECEC integration.</w:t>
      </w:r>
    </w:p>
    <w:p w14:paraId="1303CD29" w14:textId="4FB03F38"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The policy must be officially released and publicly available through official platforms, with issuing authorities primarily including Party Committees, government portals, education commissions, health commissions, etc.</w:t>
      </w:r>
    </w:p>
    <w:p w14:paraId="6D443094" w14:textId="377617F8"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The types of policy documents mainly include notices, implementation plans, opinions, development plans/outlines, and measures. Documents that were merely forwarded between departments, explicitly marked as invalid, or not directly related to ECEC integration were excluded.</w:t>
      </w:r>
    </w:p>
    <w:p w14:paraId="1CE9BB29" w14:textId="01B5D76C"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 xml:space="preserve">Third, the filtered policy documents in the initial database were systematically arranged in columns according to </w:t>
      </w:r>
      <w:r w:rsidRPr="00B85A66">
        <w:rPr>
          <w:rFonts w:ascii="Times New Roman" w:hAnsi="Times New Roman" w:cs="Times New Roman"/>
        </w:rPr>
        <w:t>“</w:t>
      </w:r>
      <w:r w:rsidRPr="00B85A66">
        <w:rPr>
          <w:rFonts w:ascii="Times New Roman" w:hAnsi="Times New Roman" w:cs="Times New Roman"/>
        </w:rPr>
        <w:t>Serial Number,</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Release Date,</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Issuing Department,</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Policy Document Name,</w:t>
      </w:r>
      <w:r w:rsidRPr="00B85A66">
        <w:rPr>
          <w:rFonts w:ascii="Times New Roman" w:hAnsi="Times New Roman" w:cs="Times New Roman"/>
        </w:rPr>
        <w:t>”</w:t>
      </w:r>
      <w:r w:rsidRPr="00B85A66">
        <w:rPr>
          <w:rFonts w:ascii="Times New Roman" w:hAnsi="Times New Roman" w:cs="Times New Roman"/>
        </w:rPr>
        <w:t xml:space="preserve"> ultimately forming a valid sample database of ECEC integration policy texts, comprising 327 documents, including 314 local policies.</w:t>
      </w:r>
    </w:p>
    <w:p w14:paraId="063FC60C" w14:textId="49506D39"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Fourth, from this valid sample database, 20 typical policies specifically targeting local ECEC integration were selected for in-depth analysis.</w:t>
      </w:r>
    </w:p>
    <w:p w14:paraId="4E0FB677" w14:textId="2D7B1094"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lastRenderedPageBreak/>
        <w:t>(II) Text Preprocessing</w:t>
      </w:r>
    </w:p>
    <w:p w14:paraId="3127FA1C" w14:textId="6537D4AE"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First, content unrelated to textual analysis was removed from each policy text, including index numbers, subject classifications, issuance dates, validity status, document numbers, and titles, to create individual plain-text (.txt) files.</w:t>
      </w:r>
    </w:p>
    <w:p w14:paraId="1697D1D2" w14:textId="29E70C07"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Second, word segmentation and stop word removal were performed. ROST CM6 software, known for its comprehensive functionality and effectiveness in Chinese text preprocessing and wide user base, was employed for this task. For word segmentation, a custom dictionary containing terms related to ECEC integration was used to improve disambiguation. For stop word removal, existing research indicates that a combined stop word list yields better clustering results than a single list. Therefore, this study synthesized mainstream stop word lists (e.g., Baidu, Harbin Institute of Technology, Sichuan University Machine Intelligence Lab) to create a new list. Further research suggests that excessively increasing the number of stop words does not consistently improve clustering results, necessitating targeted additions or deletions based on the research content. Consequently, a final stop word list was formed by integrating mainstream general lists and tailoring it to the characteristics of ECEC integration policies.</w:t>
      </w:r>
    </w:p>
    <w:p w14:paraId="4C904C6C" w14:textId="1FC522D7"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Third, disambiguation of keywords and entity expressions was conducted. Texts often contain multiple expressions for the same concept, which can introduce errors in high-frequency word statistics. Therefore, different expressions for synonymous entities were unified under a single label. ECEC integration policies involve numerous issuing departments and target entities, with varying expressions used by different local authorities and within the policies themselves. To avoid ambiguity caused by these variations, expressions for issuing departments and target entities were standardized.</w:t>
      </w:r>
    </w:p>
    <w:p w14:paraId="56D0B2B6" w14:textId="7AE4ED25"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Table 1 Correspondence Table for Synonymous Expressions and Unified Labels</w:t>
      </w:r>
    </w:p>
    <w:tbl>
      <w:tblPr>
        <w:tblStyle w:val="af4"/>
        <w:tblW w:w="0" w:type="auto"/>
        <w:jc w:val="center"/>
        <w:tblLook w:val="04A0" w:firstRow="1" w:lastRow="0" w:firstColumn="1" w:lastColumn="0" w:noHBand="0" w:noVBand="1"/>
      </w:tblPr>
      <w:tblGrid>
        <w:gridCol w:w="4148"/>
        <w:gridCol w:w="4148"/>
      </w:tblGrid>
      <w:tr w:rsidR="00B85A66" w:rsidRPr="00B85A66" w14:paraId="6C2DC494" w14:textId="77777777" w:rsidTr="00B85A66">
        <w:trPr>
          <w:jc w:val="center"/>
        </w:trPr>
        <w:tc>
          <w:tcPr>
            <w:tcW w:w="4148" w:type="dxa"/>
            <w:vAlign w:val="center"/>
          </w:tcPr>
          <w:p w14:paraId="4FBD6CCA" w14:textId="6E0747DB" w:rsidR="00B85A66" w:rsidRPr="00A71F44" w:rsidRDefault="00B85A66" w:rsidP="00B85A66">
            <w:pPr>
              <w:ind w:firstLineChars="200" w:firstLine="400"/>
              <w:jc w:val="center"/>
              <w:rPr>
                <w:rFonts w:ascii="Times New Roman" w:hAnsi="Times New Roman" w:cs="Times New Roman"/>
              </w:rPr>
            </w:pPr>
            <w:r w:rsidRPr="00A71F44">
              <w:rPr>
                <w:rFonts w:ascii="Times New Roman" w:hAnsi="Times New Roman" w:cs="Times New Roman"/>
              </w:rPr>
              <w:t>Label</w:t>
            </w:r>
          </w:p>
        </w:tc>
        <w:tc>
          <w:tcPr>
            <w:tcW w:w="4148" w:type="dxa"/>
            <w:vAlign w:val="center"/>
          </w:tcPr>
          <w:p w14:paraId="310371B4" w14:textId="285C8EFA" w:rsidR="00B85A66" w:rsidRPr="00A71F44" w:rsidRDefault="00B85A66" w:rsidP="00B85A66">
            <w:pPr>
              <w:ind w:firstLineChars="200" w:firstLine="400"/>
              <w:jc w:val="center"/>
              <w:rPr>
                <w:rFonts w:ascii="Times New Roman" w:eastAsia="宋体" w:hAnsi="Times New Roman" w:cs="Times New Roman"/>
              </w:rPr>
            </w:pPr>
            <w:r w:rsidRPr="00A71F44">
              <w:rPr>
                <w:rFonts w:ascii="Times New Roman" w:eastAsia="宋体" w:hAnsi="Times New Roman" w:cs="Times New Roman"/>
              </w:rPr>
              <w:t>Original Expressions</w:t>
            </w:r>
          </w:p>
        </w:tc>
      </w:tr>
      <w:tr w:rsidR="00B85A66" w:rsidRPr="00B85A66" w14:paraId="1DE4F9CE" w14:textId="77777777" w:rsidTr="00B85A66">
        <w:trPr>
          <w:jc w:val="center"/>
        </w:trPr>
        <w:tc>
          <w:tcPr>
            <w:tcW w:w="4148" w:type="dxa"/>
            <w:vAlign w:val="center"/>
          </w:tcPr>
          <w:p w14:paraId="32DB58D4" w14:textId="01E5CE63"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Childcare Class</w:t>
            </w:r>
          </w:p>
        </w:tc>
        <w:tc>
          <w:tcPr>
            <w:tcW w:w="4148" w:type="dxa"/>
            <w:vAlign w:val="center"/>
          </w:tcPr>
          <w:p w14:paraId="23EB889F" w14:textId="682B5CF7"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 xml:space="preserve">托班, </w:t>
            </w:r>
            <w:proofErr w:type="gramStart"/>
            <w:r w:rsidRPr="00A71F44">
              <w:rPr>
                <w:rFonts w:ascii="宋体" w:eastAsia="宋体" w:hAnsi="宋体" w:cs="Times New Roman"/>
              </w:rPr>
              <w:t>托育班</w:t>
            </w:r>
            <w:proofErr w:type="gramEnd"/>
            <w:r w:rsidRPr="00A71F44">
              <w:rPr>
                <w:rFonts w:ascii="宋体" w:eastAsia="宋体" w:hAnsi="宋体" w:cs="Times New Roman"/>
              </w:rPr>
              <w:t>, 托幼班, 幼托班</w:t>
            </w:r>
          </w:p>
        </w:tc>
      </w:tr>
      <w:tr w:rsidR="00B85A66" w:rsidRPr="00B85A66" w14:paraId="22DCBC89" w14:textId="77777777" w:rsidTr="00B85A66">
        <w:trPr>
          <w:jc w:val="center"/>
        </w:trPr>
        <w:tc>
          <w:tcPr>
            <w:tcW w:w="4148" w:type="dxa"/>
            <w:vAlign w:val="center"/>
          </w:tcPr>
          <w:p w14:paraId="74501698" w14:textId="629A67FE"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Integration of ECEC</w:t>
            </w:r>
          </w:p>
        </w:tc>
        <w:tc>
          <w:tcPr>
            <w:tcW w:w="4148" w:type="dxa"/>
            <w:vAlign w:val="center"/>
          </w:tcPr>
          <w:p w14:paraId="3F7FBF5A" w14:textId="58945A35"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托幼一体化, 幼教托育一体化, 幼儿园和托</w:t>
            </w:r>
            <w:proofErr w:type="gramStart"/>
            <w:r w:rsidRPr="00A71F44">
              <w:rPr>
                <w:rFonts w:ascii="宋体" w:eastAsia="宋体" w:hAnsi="宋体" w:cs="Times New Roman"/>
              </w:rPr>
              <w:t>育机构</w:t>
            </w:r>
            <w:proofErr w:type="gramEnd"/>
            <w:r w:rsidRPr="00A71F44">
              <w:rPr>
                <w:rFonts w:ascii="宋体" w:eastAsia="宋体" w:hAnsi="宋体" w:cs="Times New Roman"/>
              </w:rPr>
              <w:t>一体化, 幼教托幼一体化, 托育与学前教育一体化, 托幼服务一体化</w:t>
            </w:r>
          </w:p>
        </w:tc>
      </w:tr>
      <w:tr w:rsidR="00B85A66" w:rsidRPr="00B85A66" w14:paraId="51476B63" w14:textId="77777777" w:rsidTr="00B85A66">
        <w:trPr>
          <w:jc w:val="center"/>
        </w:trPr>
        <w:tc>
          <w:tcPr>
            <w:tcW w:w="4148" w:type="dxa"/>
            <w:vAlign w:val="center"/>
          </w:tcPr>
          <w:p w14:paraId="09398946" w14:textId="4E55826A"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Childcare and Education Personnel</w:t>
            </w:r>
          </w:p>
        </w:tc>
        <w:tc>
          <w:tcPr>
            <w:tcW w:w="4148" w:type="dxa"/>
            <w:vAlign w:val="center"/>
          </w:tcPr>
          <w:p w14:paraId="7F53EA10" w14:textId="4178EA35"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保教人员, 专任教师和保育员</w:t>
            </w:r>
          </w:p>
        </w:tc>
      </w:tr>
      <w:tr w:rsidR="00B85A66" w:rsidRPr="00B85A66" w14:paraId="358B7CCE" w14:textId="77777777" w:rsidTr="00B85A66">
        <w:trPr>
          <w:jc w:val="center"/>
        </w:trPr>
        <w:tc>
          <w:tcPr>
            <w:tcW w:w="4148" w:type="dxa"/>
            <w:vAlign w:val="center"/>
          </w:tcPr>
          <w:p w14:paraId="3BEF8D4E" w14:textId="56BDDAF4"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Childcare and Education Fee</w:t>
            </w:r>
          </w:p>
        </w:tc>
        <w:tc>
          <w:tcPr>
            <w:tcW w:w="4148" w:type="dxa"/>
            <w:vAlign w:val="center"/>
          </w:tcPr>
          <w:p w14:paraId="700CC917" w14:textId="4C85AB77"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保教费, 托育费</w:t>
            </w:r>
          </w:p>
        </w:tc>
      </w:tr>
      <w:tr w:rsidR="00B85A66" w:rsidRPr="00B85A66" w14:paraId="6B4FA17A" w14:textId="77777777" w:rsidTr="00B85A66">
        <w:trPr>
          <w:jc w:val="center"/>
        </w:trPr>
        <w:tc>
          <w:tcPr>
            <w:tcW w:w="4148" w:type="dxa"/>
            <w:vAlign w:val="center"/>
          </w:tcPr>
          <w:p w14:paraId="433FB1A5" w14:textId="3F0FD27E"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Operating Conditions</w:t>
            </w:r>
          </w:p>
        </w:tc>
        <w:tc>
          <w:tcPr>
            <w:tcW w:w="4148" w:type="dxa"/>
            <w:vAlign w:val="center"/>
          </w:tcPr>
          <w:p w14:paraId="7D8ED35D" w14:textId="5D0AF294"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办学条件, 办园条件, 有条件的</w:t>
            </w:r>
          </w:p>
        </w:tc>
      </w:tr>
      <w:tr w:rsidR="00B85A66" w:rsidRPr="00B85A66" w14:paraId="557DDB39" w14:textId="77777777" w:rsidTr="00B85A66">
        <w:trPr>
          <w:jc w:val="center"/>
        </w:trPr>
        <w:tc>
          <w:tcPr>
            <w:tcW w:w="4148" w:type="dxa"/>
            <w:vAlign w:val="center"/>
          </w:tcPr>
          <w:p w14:paraId="64E66B3B" w14:textId="08090A8F"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Integrated ECEC Kindergarten</w:t>
            </w:r>
          </w:p>
        </w:tc>
        <w:tc>
          <w:tcPr>
            <w:tcW w:w="4148" w:type="dxa"/>
            <w:vAlign w:val="center"/>
          </w:tcPr>
          <w:p w14:paraId="76AC9284" w14:textId="5DE6CDEA"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托幼一体化幼儿园</w:t>
            </w:r>
          </w:p>
        </w:tc>
      </w:tr>
      <w:tr w:rsidR="00B85A66" w:rsidRPr="00B85A66" w14:paraId="73DB7EEA" w14:textId="77777777" w:rsidTr="00B85A66">
        <w:trPr>
          <w:jc w:val="center"/>
        </w:trPr>
        <w:tc>
          <w:tcPr>
            <w:tcW w:w="4148" w:type="dxa"/>
            <w:vAlign w:val="center"/>
          </w:tcPr>
          <w:p w14:paraId="584FEA8E" w14:textId="0694A976"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People</w:t>
            </w:r>
            <w:proofErr w:type="gramStart"/>
            <w:r>
              <w:rPr>
                <w:rFonts w:ascii="Times New Roman" w:hAnsi="Times New Roman" w:cs="Times New Roman" w:hint="eastAsia"/>
              </w:rPr>
              <w:t>’</w:t>
            </w:r>
            <w:proofErr w:type="gramEnd"/>
            <w:r w:rsidRPr="00B85A66">
              <w:rPr>
                <w:rFonts w:ascii="Times New Roman" w:hAnsi="Times New Roman" w:cs="Times New Roman"/>
              </w:rPr>
              <w:t>s Government</w:t>
            </w:r>
          </w:p>
        </w:tc>
        <w:tc>
          <w:tcPr>
            <w:tcW w:w="4148" w:type="dxa"/>
            <w:vAlign w:val="center"/>
          </w:tcPr>
          <w:p w14:paraId="0CE6230E" w14:textId="2C205F26"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人民政府, 政府, 省政府, 市政府, 区政府, 县政府, 镇政府, 人民政府办公室, 人民政府办公厅</w:t>
            </w:r>
          </w:p>
        </w:tc>
      </w:tr>
      <w:tr w:rsidR="00B85A66" w:rsidRPr="00B85A66" w14:paraId="7B73E0D6" w14:textId="77777777" w:rsidTr="00B85A66">
        <w:trPr>
          <w:jc w:val="center"/>
        </w:trPr>
        <w:tc>
          <w:tcPr>
            <w:tcW w:w="4148" w:type="dxa"/>
            <w:vAlign w:val="center"/>
          </w:tcPr>
          <w:p w14:paraId="46A0C501" w14:textId="70EF1130"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Health Department</w:t>
            </w:r>
          </w:p>
        </w:tc>
        <w:tc>
          <w:tcPr>
            <w:tcW w:w="4148" w:type="dxa"/>
            <w:vAlign w:val="center"/>
          </w:tcPr>
          <w:p w14:paraId="20B283B8" w14:textId="1E735D38"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卫生健康部门, 卫健委, 卫生健康委, 卫生健康委员会, 卫生健康局, 卫生健康行</w:t>
            </w:r>
            <w:r w:rsidRPr="00A71F44">
              <w:rPr>
                <w:rFonts w:ascii="宋体" w:eastAsia="宋体" w:hAnsi="宋体" w:cs="Times New Roman"/>
              </w:rPr>
              <w:lastRenderedPageBreak/>
              <w:t>政部门</w:t>
            </w:r>
          </w:p>
        </w:tc>
      </w:tr>
      <w:tr w:rsidR="00B85A66" w:rsidRPr="00B85A66" w14:paraId="21F4379B" w14:textId="77777777" w:rsidTr="00B85A66">
        <w:trPr>
          <w:jc w:val="center"/>
        </w:trPr>
        <w:tc>
          <w:tcPr>
            <w:tcW w:w="4148" w:type="dxa"/>
            <w:vAlign w:val="center"/>
          </w:tcPr>
          <w:p w14:paraId="27857E62" w14:textId="4ACBEDB5"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lastRenderedPageBreak/>
              <w:t>Education Department</w:t>
            </w:r>
          </w:p>
        </w:tc>
        <w:tc>
          <w:tcPr>
            <w:tcW w:w="4148" w:type="dxa"/>
            <w:vAlign w:val="center"/>
          </w:tcPr>
          <w:p w14:paraId="474E4D31" w14:textId="0C6B13B8"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教育部门, 教育局, 教育厅, 教委, 教育委员会, 教育体育局</w:t>
            </w:r>
          </w:p>
        </w:tc>
      </w:tr>
      <w:tr w:rsidR="00B85A66" w:rsidRPr="00B85A66" w14:paraId="510063E2" w14:textId="77777777" w:rsidTr="00B85A66">
        <w:trPr>
          <w:jc w:val="center"/>
        </w:trPr>
        <w:tc>
          <w:tcPr>
            <w:tcW w:w="4148" w:type="dxa"/>
            <w:vAlign w:val="center"/>
          </w:tcPr>
          <w:p w14:paraId="3105F0E1" w14:textId="02E040F4"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Finance Department</w:t>
            </w:r>
          </w:p>
        </w:tc>
        <w:tc>
          <w:tcPr>
            <w:tcW w:w="4148" w:type="dxa"/>
            <w:vAlign w:val="center"/>
          </w:tcPr>
          <w:p w14:paraId="4BF6AAB9" w14:textId="70289293"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财政部门, 财政局, 财政厅</w:t>
            </w:r>
          </w:p>
        </w:tc>
      </w:tr>
      <w:tr w:rsidR="00B85A66" w:rsidRPr="00B85A66" w14:paraId="638A4CFB" w14:textId="77777777" w:rsidTr="00B85A66">
        <w:trPr>
          <w:jc w:val="center"/>
        </w:trPr>
        <w:tc>
          <w:tcPr>
            <w:tcW w:w="4148" w:type="dxa"/>
            <w:vAlign w:val="center"/>
          </w:tcPr>
          <w:p w14:paraId="1704A56D" w14:textId="5F8C0B9C"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Development and Reform Commission</w:t>
            </w:r>
          </w:p>
        </w:tc>
        <w:tc>
          <w:tcPr>
            <w:tcW w:w="4148" w:type="dxa"/>
            <w:vAlign w:val="center"/>
          </w:tcPr>
          <w:p w14:paraId="284B15A6" w14:textId="1AA65A55"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 xml:space="preserve">发展改革委, </w:t>
            </w:r>
            <w:proofErr w:type="gramStart"/>
            <w:r w:rsidRPr="00A71F44">
              <w:rPr>
                <w:rFonts w:ascii="宋体" w:eastAsia="宋体" w:hAnsi="宋体" w:cs="Times New Roman"/>
              </w:rPr>
              <w:t>发改委</w:t>
            </w:r>
            <w:proofErr w:type="gramEnd"/>
          </w:p>
        </w:tc>
      </w:tr>
      <w:tr w:rsidR="00B85A66" w:rsidRPr="00B85A66" w14:paraId="458B5D89" w14:textId="77777777" w:rsidTr="00B85A66">
        <w:trPr>
          <w:jc w:val="center"/>
        </w:trPr>
        <w:tc>
          <w:tcPr>
            <w:tcW w:w="4148" w:type="dxa"/>
            <w:vAlign w:val="center"/>
          </w:tcPr>
          <w:p w14:paraId="4398401F" w14:textId="7AE42F9D" w:rsidR="00B85A66" w:rsidRPr="00B85A66" w:rsidRDefault="00B85A66" w:rsidP="00B85A66">
            <w:pPr>
              <w:ind w:firstLineChars="200" w:firstLine="400"/>
              <w:jc w:val="center"/>
              <w:rPr>
                <w:rFonts w:ascii="Times New Roman" w:hAnsi="Times New Roman" w:cs="Times New Roman"/>
              </w:rPr>
            </w:pPr>
            <w:r w:rsidRPr="00B85A66">
              <w:rPr>
                <w:rFonts w:ascii="Times New Roman" w:hAnsi="Times New Roman" w:cs="Times New Roman"/>
              </w:rPr>
              <w:t>Planning and Resources Department</w:t>
            </w:r>
          </w:p>
        </w:tc>
        <w:tc>
          <w:tcPr>
            <w:tcW w:w="4148" w:type="dxa"/>
            <w:vAlign w:val="center"/>
          </w:tcPr>
          <w:p w14:paraId="42E0CFA9" w14:textId="1F0397D8" w:rsidR="00B85A66" w:rsidRPr="00A71F44" w:rsidRDefault="00B85A66" w:rsidP="00B85A66">
            <w:pPr>
              <w:ind w:firstLineChars="200" w:firstLine="400"/>
              <w:jc w:val="center"/>
              <w:rPr>
                <w:rFonts w:ascii="宋体" w:eastAsia="宋体" w:hAnsi="宋体" w:cs="Times New Roman"/>
              </w:rPr>
            </w:pPr>
            <w:r w:rsidRPr="00A71F44">
              <w:rPr>
                <w:rFonts w:ascii="宋体" w:eastAsia="宋体" w:hAnsi="宋体" w:cs="Times New Roman"/>
              </w:rPr>
              <w:t>规划资源部门, 自然资源和规划分局, 规划和自然资源局, 自然资源局</w:t>
            </w:r>
          </w:p>
        </w:tc>
      </w:tr>
    </w:tbl>
    <w:p w14:paraId="63D48E3C" w14:textId="77777777" w:rsidR="00B85A66" w:rsidRPr="00B85A66" w:rsidRDefault="00B85A66" w:rsidP="00B85A66">
      <w:pPr>
        <w:keepNext/>
        <w:keepLines/>
        <w:widowControl/>
        <w:adjustRightInd w:val="0"/>
        <w:spacing w:after="0" w:line="360" w:lineRule="auto"/>
        <w:outlineLvl w:val="1"/>
        <w:rPr>
          <w:rFonts w:ascii="Times New Roman" w:eastAsia="宋体" w:hAnsi="Times New Roman" w:cs="Times New Roman" w:hint="eastAsia"/>
          <w:sz w:val="24"/>
        </w:rPr>
      </w:pPr>
    </w:p>
    <w:bookmarkEnd w:id="0"/>
    <w:p w14:paraId="4CB40409" w14:textId="172A84EA" w:rsidR="00B85A66" w:rsidRPr="00B85A66" w:rsidRDefault="00B85A66" w:rsidP="00B85A66">
      <w:pPr>
        <w:rPr>
          <w:rFonts w:ascii="Times New Roman" w:hAnsi="Times New Roman" w:cs="Times New Roman"/>
        </w:rPr>
      </w:pPr>
      <w:r w:rsidRPr="00B85A66">
        <w:rPr>
          <w:rFonts w:ascii="Times New Roman" w:hAnsi="Times New Roman" w:cs="Times New Roman"/>
        </w:rPr>
        <w:t>(III) Extraction of Key Policy Content</w:t>
      </w:r>
    </w:p>
    <w:p w14:paraId="29D9CF08" w14:textId="5539BFFA" w:rsidR="00B85A66" w:rsidRPr="00B85A66" w:rsidRDefault="00B85A66" w:rsidP="00B85A66">
      <w:pPr>
        <w:rPr>
          <w:rFonts w:ascii="Times New Roman" w:hAnsi="Times New Roman" w:cs="Times New Roman"/>
        </w:rPr>
      </w:pPr>
      <w:r w:rsidRPr="00B85A66">
        <w:rPr>
          <w:rFonts w:ascii="Times New Roman" w:hAnsi="Times New Roman" w:cs="Times New Roman"/>
        </w:rPr>
        <w:t>1. Variable Selection</w:t>
      </w:r>
    </w:p>
    <w:p w14:paraId="15F9BBAE" w14:textId="3F6DB754" w:rsidR="00B85A66" w:rsidRPr="00A71F44" w:rsidRDefault="00B85A66" w:rsidP="00A71F44">
      <w:pPr>
        <w:ind w:firstLineChars="200" w:firstLine="440"/>
        <w:rPr>
          <w:rFonts w:ascii="Times New Roman" w:eastAsia="宋体" w:hAnsi="Times New Roman" w:cs="Times New Roman" w:hint="eastAsia"/>
          <w:b/>
          <w:bCs/>
          <w:color w:val="0F1115"/>
          <w:kern w:val="0"/>
          <w:sz w:val="24"/>
          <w14:ligatures w14:val="none"/>
        </w:rPr>
      </w:pPr>
      <w:r w:rsidRPr="00B85A66">
        <w:rPr>
          <w:rFonts w:ascii="Times New Roman" w:hAnsi="Times New Roman" w:cs="Times New Roman"/>
        </w:rPr>
        <w:t>First, ROST CM6 was used for word segmentation and frequency statistics. After removing function words, verbs, adjectives, and general terms with little substantive meaning, valid high-frequency words were extracted. Co-word analysis was then performed to extract line features of the policy texts, and a co-occurrence matrix between high-frequency vocabulary was calculated. Subsequently, the co-occurrence matrix of the top 50 high-frequency words was imported into Gephi software to generate a social network knowledge graph of ECEC integration policy keywords (Figure 2). Cluster analysis was performed at standard resolution, with results represented by different colored modules. Node size indicates degree (number of nodes directly connected to it), and edge color intensity indicates the frequency of co-occurrence, reflecting the closeness of connections.</w:t>
      </w:r>
      <w:r w:rsidRPr="00B85A66">
        <w:rPr>
          <w:rFonts w:ascii="Times New Roman" w:eastAsia="宋体" w:hAnsi="Times New Roman" w:cs="Times New Roman"/>
          <w:b/>
          <w:bCs/>
          <w:color w:val="0F1115"/>
          <w:kern w:val="0"/>
          <w:sz w:val="24"/>
          <w14:ligatures w14:val="none"/>
        </w:rPr>
        <w:t xml:space="preserve"> </w:t>
      </w:r>
    </w:p>
    <w:p w14:paraId="34CF20F1" w14:textId="7760C5BD" w:rsidR="008140D7" w:rsidRPr="00B85A66" w:rsidRDefault="00B85A66" w:rsidP="00A71F44">
      <w:pPr>
        <w:ind w:firstLineChars="200" w:firstLine="482"/>
        <w:jc w:val="center"/>
        <w:rPr>
          <w:rFonts w:ascii="Times New Roman" w:eastAsia="宋体" w:hAnsi="Times New Roman" w:cs="Times New Roman"/>
          <w:sz w:val="24"/>
        </w:rPr>
      </w:pPr>
      <w:r w:rsidRPr="00B85A66">
        <w:rPr>
          <w:rFonts w:ascii="Times New Roman" w:eastAsia="宋体" w:hAnsi="Times New Roman" w:cs="Times New Roman"/>
          <w:b/>
          <w:bCs/>
          <w:noProof/>
          <w:color w:val="0F1115"/>
          <w:kern w:val="0"/>
          <w:sz w:val="24"/>
          <w14:ligatures w14:val="none"/>
        </w:rPr>
        <w:drawing>
          <wp:inline distT="0" distB="0" distL="0" distR="0" wp14:anchorId="568EDE77" wp14:editId="41F97058">
            <wp:extent cx="3578225" cy="3578225"/>
            <wp:effectExtent l="0" t="0" r="3175" b="3175"/>
            <wp:docPr id="10591523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78225" cy="3578225"/>
                    </a:xfrm>
                    <a:prstGeom prst="rect">
                      <a:avLst/>
                    </a:prstGeom>
                    <a:noFill/>
                    <a:ln>
                      <a:noFill/>
                    </a:ln>
                  </pic:spPr>
                </pic:pic>
              </a:graphicData>
            </a:graphic>
          </wp:inline>
        </w:drawing>
      </w:r>
    </w:p>
    <w:p w14:paraId="61485093" w14:textId="6BE8D58D" w:rsidR="00B85A66" w:rsidRPr="00B85A66" w:rsidRDefault="00B85A66" w:rsidP="00B85A66">
      <w:pPr>
        <w:jc w:val="center"/>
        <w:rPr>
          <w:rFonts w:ascii="Times New Roman" w:hAnsi="Times New Roman" w:cs="Times New Roman"/>
        </w:rPr>
      </w:pPr>
      <w:bookmarkStart w:id="1" w:name="_Toc198114551"/>
      <w:r w:rsidRPr="00B85A66">
        <w:rPr>
          <w:rFonts w:ascii="Times New Roman" w:hAnsi="Times New Roman" w:cs="Times New Roman"/>
        </w:rPr>
        <w:t>Fig.</w:t>
      </w:r>
      <w:r w:rsidRPr="00B85A66">
        <w:rPr>
          <w:rFonts w:ascii="Times New Roman" w:hAnsi="Times New Roman" w:cs="Times New Roman"/>
        </w:rPr>
        <w:t>1</w:t>
      </w:r>
      <w:r w:rsidRPr="00B85A66">
        <w:rPr>
          <w:rFonts w:ascii="Times New Roman" w:hAnsi="Times New Roman" w:cs="Times New Roman"/>
        </w:rPr>
        <w:t xml:space="preserve"> Social Network Knowledge Graph of the Integration of ECEC</w:t>
      </w:r>
    </w:p>
    <w:bookmarkEnd w:id="1"/>
    <w:p w14:paraId="1EA89CAC" w14:textId="5A274A2C" w:rsidR="00B85A66" w:rsidRPr="00B85A66" w:rsidRDefault="00B85A66" w:rsidP="00B85A66">
      <w:pPr>
        <w:rPr>
          <w:rFonts w:ascii="Times New Roman" w:hAnsi="Times New Roman" w:cs="Times New Roman"/>
        </w:rPr>
      </w:pPr>
      <w:r w:rsidRPr="00B85A66">
        <w:rPr>
          <w:rFonts w:ascii="Times New Roman" w:hAnsi="Times New Roman" w:cs="Times New Roman"/>
        </w:rPr>
        <w:lastRenderedPageBreak/>
        <w:t>2. Parameter Setting</w:t>
      </w:r>
    </w:p>
    <w:p w14:paraId="206537E5" w14:textId="305550C1" w:rsidR="00B85A66" w:rsidRPr="00B85A66" w:rsidRDefault="00B85A66" w:rsidP="00B85A66">
      <w:pPr>
        <w:rPr>
          <w:rFonts w:ascii="Times New Roman" w:hAnsi="Times New Roman" w:cs="Times New Roman"/>
        </w:rPr>
      </w:pPr>
      <w:r w:rsidRPr="00B85A66">
        <w:rPr>
          <w:rFonts w:ascii="Cambria Math" w:hAnsi="Cambria Math" w:cs="Cambria Math"/>
        </w:rPr>
        <w:t>①</w:t>
      </w:r>
      <w:r w:rsidRPr="00B85A66">
        <w:rPr>
          <w:rFonts w:ascii="Times New Roman" w:hAnsi="Times New Roman" w:cs="Times New Roman"/>
        </w:rPr>
        <w:t xml:space="preserve"> Cluster Network Analysis of High-Frequency Policy Words</w:t>
      </w:r>
    </w:p>
    <w:p w14:paraId="292AE62E" w14:textId="7AF96375" w:rsidR="00B85A66" w:rsidRPr="00B85A66" w:rsidRDefault="00B85A66" w:rsidP="00B85A66">
      <w:pPr>
        <w:ind w:firstLineChars="200" w:firstLine="440"/>
        <w:rPr>
          <w:rFonts w:ascii="Times New Roman" w:hAnsi="Times New Roman" w:cs="Times New Roman"/>
        </w:rPr>
      </w:pPr>
      <w:r w:rsidRPr="00D57AFC">
        <w:rPr>
          <w:rFonts w:ascii="Times New Roman" w:eastAsia="宋体" w:hAnsi="Times New Roman" w:cs="Times New Roman"/>
        </w:rPr>
        <w:t xml:space="preserve">As shown in Figure 1, words like </w:t>
      </w:r>
      <w:r w:rsidRPr="00D57AFC">
        <w:rPr>
          <w:rFonts w:ascii="Times New Roman" w:eastAsia="宋体" w:hAnsi="Times New Roman" w:cs="Times New Roman"/>
        </w:rPr>
        <w:t>“</w:t>
      </w:r>
      <w:r w:rsidRPr="00D57AFC">
        <w:rPr>
          <w:rFonts w:ascii="Times New Roman" w:eastAsia="宋体" w:hAnsi="Times New Roman" w:cs="Times New Roman"/>
        </w:rPr>
        <w:t>Kindergarten (</w:t>
      </w:r>
      <w:r w:rsidRPr="00D57AFC">
        <w:rPr>
          <w:rFonts w:ascii="Times New Roman" w:eastAsia="宋体" w:hAnsi="Times New Roman" w:cs="Times New Roman"/>
        </w:rPr>
        <w:t>幼儿园</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w:t>
      </w:r>
      <w:r w:rsidRPr="00D57AFC">
        <w:rPr>
          <w:rFonts w:ascii="Times New Roman" w:eastAsia="宋体" w:hAnsi="Times New Roman" w:cs="Times New Roman"/>
        </w:rPr>
        <w:t>“</w:t>
      </w:r>
      <w:r w:rsidRPr="00D57AFC">
        <w:rPr>
          <w:rFonts w:ascii="Times New Roman" w:eastAsia="宋体" w:hAnsi="Times New Roman" w:cs="Times New Roman"/>
        </w:rPr>
        <w:t>Childcare Class (</w:t>
      </w:r>
      <w:r w:rsidRPr="00D57AFC">
        <w:rPr>
          <w:rFonts w:ascii="Times New Roman" w:eastAsia="宋体" w:hAnsi="Times New Roman" w:cs="Times New Roman"/>
        </w:rPr>
        <w:t>托班</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and </w:t>
      </w:r>
      <w:r w:rsidRPr="00D57AFC">
        <w:rPr>
          <w:rFonts w:ascii="Times New Roman" w:eastAsia="宋体" w:hAnsi="Times New Roman" w:cs="Times New Roman"/>
        </w:rPr>
        <w:t>“</w:t>
      </w:r>
      <w:r w:rsidRPr="00D57AFC">
        <w:rPr>
          <w:rFonts w:ascii="Times New Roman" w:eastAsia="宋体" w:hAnsi="Times New Roman" w:cs="Times New Roman"/>
        </w:rPr>
        <w:t>Management (</w:t>
      </w:r>
      <w:r w:rsidRPr="00D57AFC">
        <w:rPr>
          <w:rFonts w:ascii="Times New Roman" w:eastAsia="宋体" w:hAnsi="Times New Roman" w:cs="Times New Roman"/>
        </w:rPr>
        <w:t>管理</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belong to the same module; </w:t>
      </w:r>
      <w:r w:rsidRPr="00D57AFC">
        <w:rPr>
          <w:rFonts w:ascii="Times New Roman" w:eastAsia="宋体" w:hAnsi="Times New Roman" w:cs="Times New Roman"/>
        </w:rPr>
        <w:t>“</w:t>
      </w:r>
      <w:r w:rsidRPr="00D57AFC">
        <w:rPr>
          <w:rFonts w:ascii="Times New Roman" w:eastAsia="宋体" w:hAnsi="Times New Roman" w:cs="Times New Roman"/>
        </w:rPr>
        <w:t>Child (</w:t>
      </w:r>
      <w:r w:rsidRPr="00D57AFC">
        <w:rPr>
          <w:rFonts w:ascii="Times New Roman" w:eastAsia="宋体" w:hAnsi="Times New Roman" w:cs="Times New Roman"/>
        </w:rPr>
        <w:t>幼儿</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w:t>
      </w:r>
      <w:r w:rsidRPr="00D57AFC">
        <w:rPr>
          <w:rFonts w:ascii="Times New Roman" w:eastAsia="宋体" w:hAnsi="Times New Roman" w:cs="Times New Roman"/>
        </w:rPr>
        <w:t>“</w:t>
      </w:r>
      <w:r w:rsidRPr="00D57AFC">
        <w:rPr>
          <w:rFonts w:ascii="Times New Roman" w:eastAsia="宋体" w:hAnsi="Times New Roman" w:cs="Times New Roman"/>
        </w:rPr>
        <w:t>Integration of ECEC (</w:t>
      </w:r>
      <w:r w:rsidRPr="00D57AFC">
        <w:rPr>
          <w:rFonts w:ascii="Times New Roman" w:eastAsia="宋体" w:hAnsi="Times New Roman" w:cs="Times New Roman"/>
        </w:rPr>
        <w:t>托幼一体化</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and </w:t>
      </w:r>
      <w:r w:rsidRPr="00D57AFC">
        <w:rPr>
          <w:rFonts w:ascii="Times New Roman" w:eastAsia="宋体" w:hAnsi="Times New Roman" w:cs="Times New Roman"/>
        </w:rPr>
        <w:t>“</w:t>
      </w:r>
      <w:r w:rsidRPr="00D57AFC">
        <w:rPr>
          <w:rFonts w:ascii="Times New Roman" w:eastAsia="宋体" w:hAnsi="Times New Roman" w:cs="Times New Roman"/>
        </w:rPr>
        <w:t>Resource (</w:t>
      </w:r>
      <w:r w:rsidRPr="00D57AFC">
        <w:rPr>
          <w:rFonts w:ascii="Times New Roman" w:eastAsia="宋体" w:hAnsi="Times New Roman" w:cs="Times New Roman"/>
        </w:rPr>
        <w:t>资源</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belong to another; </w:t>
      </w:r>
      <w:r w:rsidRPr="00D57AFC">
        <w:rPr>
          <w:rFonts w:ascii="Times New Roman" w:eastAsia="宋体" w:hAnsi="Times New Roman" w:cs="Times New Roman"/>
        </w:rPr>
        <w:t>“</w:t>
      </w:r>
      <w:r w:rsidRPr="00D57AFC">
        <w:rPr>
          <w:rFonts w:ascii="Times New Roman" w:eastAsia="宋体" w:hAnsi="Times New Roman" w:cs="Times New Roman"/>
        </w:rPr>
        <w:t>Service (</w:t>
      </w:r>
      <w:r w:rsidRPr="00D57AFC">
        <w:rPr>
          <w:rFonts w:ascii="Times New Roman" w:eastAsia="宋体" w:hAnsi="Times New Roman" w:cs="Times New Roman"/>
        </w:rPr>
        <w:t>服务</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w:t>
      </w:r>
      <w:r w:rsidRPr="00D57AFC">
        <w:rPr>
          <w:rFonts w:ascii="Times New Roman" w:eastAsia="宋体" w:hAnsi="Times New Roman" w:cs="Times New Roman"/>
        </w:rPr>
        <w:t>“</w:t>
      </w:r>
      <w:r w:rsidRPr="00D57AFC">
        <w:rPr>
          <w:rFonts w:ascii="Times New Roman" w:eastAsia="宋体" w:hAnsi="Times New Roman" w:cs="Times New Roman"/>
        </w:rPr>
        <w:t>Infant and Toddler (</w:t>
      </w:r>
      <w:r w:rsidRPr="00D57AFC">
        <w:rPr>
          <w:rFonts w:ascii="Times New Roman" w:eastAsia="宋体" w:hAnsi="Times New Roman" w:cs="Times New Roman"/>
        </w:rPr>
        <w:t>婴幼儿</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and </w:t>
      </w:r>
      <w:r w:rsidRPr="00D57AFC">
        <w:rPr>
          <w:rFonts w:ascii="Times New Roman" w:eastAsia="宋体" w:hAnsi="Times New Roman" w:cs="Times New Roman"/>
        </w:rPr>
        <w:t>“</w:t>
      </w:r>
      <w:r w:rsidRPr="00D57AFC">
        <w:rPr>
          <w:rFonts w:ascii="Times New Roman" w:eastAsia="宋体" w:hAnsi="Times New Roman" w:cs="Times New Roman"/>
        </w:rPr>
        <w:t>Care (</w:t>
      </w:r>
      <w:r w:rsidRPr="00D57AFC">
        <w:rPr>
          <w:rFonts w:ascii="Times New Roman" w:eastAsia="宋体" w:hAnsi="Times New Roman" w:cs="Times New Roman"/>
        </w:rPr>
        <w:t>照护</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belong to a third; and </w:t>
      </w:r>
      <w:r w:rsidRPr="00D57AFC">
        <w:rPr>
          <w:rFonts w:ascii="Times New Roman" w:eastAsia="宋体" w:hAnsi="Times New Roman" w:cs="Times New Roman"/>
        </w:rPr>
        <w:t>“</w:t>
      </w:r>
      <w:r w:rsidRPr="00D57AFC">
        <w:rPr>
          <w:rFonts w:ascii="Times New Roman" w:eastAsia="宋体" w:hAnsi="Times New Roman" w:cs="Times New Roman"/>
        </w:rPr>
        <w:t>People</w:t>
      </w:r>
      <w:r w:rsidRPr="00D57AFC">
        <w:rPr>
          <w:rFonts w:ascii="Times New Roman" w:eastAsia="宋体" w:hAnsi="Times New Roman" w:cs="Times New Roman"/>
        </w:rPr>
        <w:t>’</w:t>
      </w:r>
      <w:r w:rsidRPr="00D57AFC">
        <w:rPr>
          <w:rFonts w:ascii="Times New Roman" w:eastAsia="宋体" w:hAnsi="Times New Roman" w:cs="Times New Roman"/>
        </w:rPr>
        <w:t>s Government (</w:t>
      </w:r>
      <w:r w:rsidRPr="00D57AFC">
        <w:rPr>
          <w:rFonts w:ascii="Times New Roman" w:eastAsia="宋体" w:hAnsi="Times New Roman" w:cs="Times New Roman"/>
        </w:rPr>
        <w:t>人民政府</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w:t>
      </w:r>
      <w:r w:rsidRPr="00D57AFC">
        <w:rPr>
          <w:rFonts w:ascii="Times New Roman" w:eastAsia="宋体" w:hAnsi="Times New Roman" w:cs="Times New Roman"/>
        </w:rPr>
        <w:t>“</w:t>
      </w:r>
      <w:r w:rsidRPr="00D57AFC">
        <w:rPr>
          <w:rFonts w:ascii="Times New Roman" w:eastAsia="宋体" w:hAnsi="Times New Roman" w:cs="Times New Roman"/>
        </w:rPr>
        <w:t>Department (</w:t>
      </w:r>
      <w:r w:rsidRPr="00D57AFC">
        <w:rPr>
          <w:rFonts w:ascii="Times New Roman" w:eastAsia="宋体" w:hAnsi="Times New Roman" w:cs="Times New Roman"/>
        </w:rPr>
        <w:t>部门</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and </w:t>
      </w:r>
      <w:r w:rsidRPr="00D57AFC">
        <w:rPr>
          <w:rFonts w:ascii="Times New Roman" w:eastAsia="宋体" w:hAnsi="Times New Roman" w:cs="Times New Roman"/>
        </w:rPr>
        <w:t>“</w:t>
      </w:r>
      <w:r w:rsidRPr="00D57AFC">
        <w:rPr>
          <w:rFonts w:ascii="Times New Roman" w:eastAsia="宋体" w:hAnsi="Times New Roman" w:cs="Times New Roman"/>
        </w:rPr>
        <w:t>Unit (</w:t>
      </w:r>
      <w:r w:rsidRPr="00D57AFC">
        <w:rPr>
          <w:rFonts w:ascii="Times New Roman" w:eastAsia="宋体" w:hAnsi="Times New Roman" w:cs="Times New Roman"/>
        </w:rPr>
        <w:t>单位</w:t>
      </w:r>
      <w:r w:rsidRPr="00D57AFC">
        <w:rPr>
          <w:rFonts w:ascii="Times New Roman" w:eastAsia="宋体" w:hAnsi="Times New Roman" w:cs="Times New Roman"/>
        </w:rPr>
        <w:t>)</w:t>
      </w:r>
      <w:r w:rsidRPr="00D57AFC">
        <w:rPr>
          <w:rFonts w:ascii="Times New Roman" w:eastAsia="宋体" w:hAnsi="Times New Roman" w:cs="Times New Roman"/>
        </w:rPr>
        <w:t>”</w:t>
      </w:r>
      <w:r w:rsidRPr="00D57AFC">
        <w:rPr>
          <w:rFonts w:ascii="Times New Roman" w:eastAsia="宋体" w:hAnsi="Times New Roman" w:cs="Times New Roman"/>
        </w:rPr>
        <w:t xml:space="preserve"> belong to a fourth. These are named </w:t>
      </w:r>
      <w:r w:rsidRPr="00D57AFC">
        <w:rPr>
          <w:rFonts w:ascii="Times New Roman" w:eastAsia="宋体" w:hAnsi="Times New Roman" w:cs="Times New Roman"/>
        </w:rPr>
        <w:t>“</w:t>
      </w:r>
      <w:r w:rsidRPr="00D57AFC">
        <w:rPr>
          <w:rFonts w:ascii="Times New Roman" w:eastAsia="宋体" w:hAnsi="Times New Roman" w:cs="Times New Roman"/>
        </w:rPr>
        <w:t>Module 1,</w:t>
      </w:r>
      <w:r w:rsidRPr="00D57AFC">
        <w:rPr>
          <w:rFonts w:ascii="Times New Roman" w:eastAsia="宋体" w:hAnsi="Times New Roman" w:cs="Times New Roman"/>
        </w:rPr>
        <w:t>”</w:t>
      </w:r>
      <w:r w:rsidRPr="00D57AFC">
        <w:rPr>
          <w:rFonts w:ascii="Times New Roman" w:eastAsia="宋体" w:hAnsi="Times New Roman" w:cs="Times New Roman"/>
        </w:rPr>
        <w:t xml:space="preserve"> </w:t>
      </w:r>
      <w:r w:rsidRPr="00D57AFC">
        <w:rPr>
          <w:rFonts w:ascii="Times New Roman" w:eastAsia="宋体" w:hAnsi="Times New Roman" w:cs="Times New Roman"/>
        </w:rPr>
        <w:t>“</w:t>
      </w:r>
      <w:r w:rsidRPr="00D57AFC">
        <w:rPr>
          <w:rFonts w:ascii="Times New Roman" w:eastAsia="宋体" w:hAnsi="Times New Roman" w:cs="Times New Roman"/>
        </w:rPr>
        <w:t>Module 2,</w:t>
      </w:r>
      <w:r w:rsidRPr="00D57AFC">
        <w:rPr>
          <w:rFonts w:ascii="Times New Roman" w:eastAsia="宋体" w:hAnsi="Times New Roman" w:cs="Times New Roman"/>
        </w:rPr>
        <w:t>”</w:t>
      </w:r>
      <w:r w:rsidRPr="00D57AFC">
        <w:rPr>
          <w:rFonts w:ascii="Times New Roman" w:eastAsia="宋体" w:hAnsi="Times New Roman" w:cs="Times New Roman"/>
        </w:rPr>
        <w:t xml:space="preserve"> </w:t>
      </w:r>
      <w:r w:rsidRPr="00D57AFC">
        <w:rPr>
          <w:rFonts w:ascii="Times New Roman" w:eastAsia="宋体" w:hAnsi="Times New Roman" w:cs="Times New Roman"/>
        </w:rPr>
        <w:t>“</w:t>
      </w:r>
      <w:r w:rsidRPr="00D57AFC">
        <w:rPr>
          <w:rFonts w:ascii="Times New Roman" w:eastAsia="宋体" w:hAnsi="Times New Roman" w:cs="Times New Roman"/>
        </w:rPr>
        <w:t>Module 3,</w:t>
      </w:r>
      <w:r w:rsidRPr="00D57AFC">
        <w:rPr>
          <w:rFonts w:ascii="Times New Roman" w:eastAsia="宋体" w:hAnsi="Times New Roman" w:cs="Times New Roman"/>
        </w:rPr>
        <w:t>”</w:t>
      </w:r>
      <w:r w:rsidRPr="00D57AFC">
        <w:rPr>
          <w:rFonts w:ascii="Times New Roman" w:eastAsia="宋体" w:hAnsi="Times New Roman" w:cs="Times New Roman"/>
        </w:rPr>
        <w:t xml:space="preserve"> and </w:t>
      </w:r>
      <w:r w:rsidRPr="00D57AFC">
        <w:rPr>
          <w:rFonts w:ascii="Times New Roman" w:eastAsia="宋体" w:hAnsi="Times New Roman" w:cs="Times New Roman"/>
        </w:rPr>
        <w:t>“</w:t>
      </w:r>
      <w:r w:rsidRPr="00D57AFC">
        <w:rPr>
          <w:rFonts w:ascii="Times New Roman" w:eastAsia="宋体" w:hAnsi="Times New Roman" w:cs="Times New Roman"/>
        </w:rPr>
        <w:t>Module 4,</w:t>
      </w:r>
      <w:r w:rsidRPr="00D57AFC">
        <w:rPr>
          <w:rFonts w:ascii="Times New Roman" w:eastAsia="宋体" w:hAnsi="Times New Roman" w:cs="Times New Roman"/>
        </w:rPr>
        <w:t>”</w:t>
      </w:r>
      <w:r w:rsidRPr="00D57AFC">
        <w:rPr>
          <w:rFonts w:ascii="Times New Roman" w:eastAsia="宋体" w:hAnsi="Times New Roman" w:cs="Times New Roman"/>
        </w:rPr>
        <w:t xml:space="preserve"> respectively. Keywords like </w:t>
      </w:r>
      <w:r w:rsidRPr="00D57AFC">
        <w:rPr>
          <w:rFonts w:ascii="Times New Roman" w:eastAsia="宋体" w:hAnsi="Times New Roman" w:cs="Times New Roman"/>
        </w:rPr>
        <w:t>“</w:t>
      </w:r>
      <w:r w:rsidRPr="00D57AFC">
        <w:rPr>
          <w:rFonts w:ascii="Times New Roman" w:eastAsia="宋体" w:hAnsi="Times New Roman" w:cs="Times New Roman"/>
        </w:rPr>
        <w:t>Kindergarten,</w:t>
      </w:r>
      <w:r w:rsidRPr="00D57AFC">
        <w:rPr>
          <w:rFonts w:ascii="Times New Roman" w:eastAsia="宋体" w:hAnsi="Times New Roman" w:cs="Times New Roman"/>
        </w:rPr>
        <w:t>”</w:t>
      </w:r>
      <w:r w:rsidRPr="00D57AFC">
        <w:rPr>
          <w:rFonts w:ascii="Times New Roman" w:eastAsia="宋体" w:hAnsi="Times New Roman" w:cs="Times New Roman"/>
        </w:rPr>
        <w:t xml:space="preserve"> </w:t>
      </w:r>
      <w:r w:rsidRPr="00D57AFC">
        <w:rPr>
          <w:rFonts w:ascii="Times New Roman" w:eastAsia="宋体" w:hAnsi="Times New Roman" w:cs="Times New Roman"/>
        </w:rPr>
        <w:t>“</w:t>
      </w:r>
      <w:r w:rsidRPr="00D57AFC">
        <w:rPr>
          <w:rFonts w:ascii="Times New Roman" w:eastAsia="宋体" w:hAnsi="Times New Roman" w:cs="Times New Roman"/>
        </w:rPr>
        <w:t>Childcare Class,</w:t>
      </w:r>
      <w:r w:rsidRPr="00D57AFC">
        <w:rPr>
          <w:rFonts w:ascii="Times New Roman" w:eastAsia="宋体" w:hAnsi="Times New Roman" w:cs="Times New Roman"/>
        </w:rPr>
        <w:t>”</w:t>
      </w:r>
      <w:r w:rsidRPr="00D57AFC">
        <w:rPr>
          <w:rFonts w:ascii="Times New Roman" w:eastAsia="宋体" w:hAnsi="Times New Roman" w:cs="Times New Roman"/>
        </w:rPr>
        <w:t xml:space="preserve"> </w:t>
      </w:r>
      <w:r w:rsidRPr="00D57AFC">
        <w:rPr>
          <w:rFonts w:ascii="Times New Roman" w:eastAsia="宋体" w:hAnsi="Times New Roman" w:cs="Times New Roman"/>
        </w:rPr>
        <w:t>“</w:t>
      </w:r>
      <w:r w:rsidRPr="00D57AFC">
        <w:rPr>
          <w:rFonts w:ascii="Times New Roman" w:eastAsia="宋体" w:hAnsi="Times New Roman" w:cs="Times New Roman"/>
        </w:rPr>
        <w:t>Service,</w:t>
      </w:r>
      <w:r w:rsidRPr="00D57AFC">
        <w:rPr>
          <w:rFonts w:ascii="Times New Roman" w:eastAsia="宋体" w:hAnsi="Times New Roman" w:cs="Times New Roman"/>
        </w:rPr>
        <w:t>”</w:t>
      </w:r>
      <w:r w:rsidRPr="00D57AFC">
        <w:rPr>
          <w:rFonts w:ascii="Times New Roman" w:eastAsia="宋体" w:hAnsi="Times New Roman" w:cs="Times New Roman"/>
        </w:rPr>
        <w:t xml:space="preserve"> and </w:t>
      </w:r>
      <w:r w:rsidRPr="00D57AFC">
        <w:rPr>
          <w:rFonts w:ascii="Times New Roman" w:eastAsia="宋体" w:hAnsi="Times New Roman" w:cs="Times New Roman"/>
        </w:rPr>
        <w:t>“</w:t>
      </w:r>
      <w:r w:rsidRPr="00D57AFC">
        <w:rPr>
          <w:rFonts w:ascii="Times New Roman" w:eastAsia="宋体" w:hAnsi="Times New Roman" w:cs="Times New Roman"/>
        </w:rPr>
        <w:t>Infant and Toddler</w:t>
      </w:r>
      <w:r w:rsidRPr="00D57AFC">
        <w:rPr>
          <w:rFonts w:ascii="Times New Roman" w:eastAsia="宋体" w:hAnsi="Times New Roman" w:cs="Times New Roman"/>
        </w:rPr>
        <w:t>”</w:t>
      </w:r>
      <w:r w:rsidRPr="00D57AFC">
        <w:rPr>
          <w:rFonts w:ascii="Times New Roman" w:eastAsia="宋体" w:hAnsi="Times New Roman" w:cs="Times New Roman"/>
        </w:rPr>
        <w:t xml:space="preserve"> are located near the center, appear with higher frequency, are closely interconnected, and have connections with most other nodes. Based on the specific content of the policy texts, some documents elaborate using phrases like </w:t>
      </w:r>
      <w:r w:rsidRPr="00D57AFC">
        <w:rPr>
          <w:rFonts w:ascii="Times New Roman" w:eastAsia="宋体" w:hAnsi="Times New Roman" w:cs="Times New Roman"/>
        </w:rPr>
        <w:t>“</w:t>
      </w:r>
      <w:r w:rsidRPr="00D57AFC">
        <w:rPr>
          <w:rFonts w:ascii="Times New Roman" w:eastAsia="宋体" w:hAnsi="Times New Roman" w:cs="Times New Roman"/>
        </w:rPr>
        <w:t>kindergartens operating childcare classes</w:t>
      </w:r>
      <w:r w:rsidRPr="00D57AFC">
        <w:rPr>
          <w:rFonts w:ascii="Times New Roman" w:eastAsia="宋体" w:hAnsi="Times New Roman" w:cs="Times New Roman"/>
        </w:rPr>
        <w:t>”</w:t>
      </w:r>
      <w:r w:rsidRPr="00D57AFC">
        <w:rPr>
          <w:rFonts w:ascii="Times New Roman" w:eastAsia="宋体" w:hAnsi="Times New Roman" w:cs="Times New Roman"/>
        </w:rPr>
        <w:t xml:space="preserve"> or </w:t>
      </w:r>
      <w:r w:rsidRPr="00D57AFC">
        <w:rPr>
          <w:rFonts w:ascii="Times New Roman" w:eastAsia="宋体" w:hAnsi="Times New Roman" w:cs="Times New Roman"/>
        </w:rPr>
        <w:t>“</w:t>
      </w:r>
      <w:r w:rsidRPr="00D57AFC">
        <w:rPr>
          <w:rFonts w:ascii="Times New Roman" w:eastAsia="宋体" w:hAnsi="Times New Roman" w:cs="Times New Roman"/>
        </w:rPr>
        <w:t>encouraging and su</w:t>
      </w:r>
      <w:r w:rsidRPr="00B85A66">
        <w:rPr>
          <w:rFonts w:ascii="Times New Roman" w:hAnsi="Times New Roman" w:cs="Times New Roman"/>
        </w:rPr>
        <w:t>pporting eligible kindergartens to establish childcare classes,</w:t>
      </w:r>
      <w:r w:rsidRPr="00B85A66">
        <w:rPr>
          <w:rFonts w:ascii="Times New Roman" w:hAnsi="Times New Roman" w:cs="Times New Roman"/>
        </w:rPr>
        <w:t>”</w:t>
      </w:r>
      <w:r w:rsidRPr="00B85A66">
        <w:rPr>
          <w:rFonts w:ascii="Times New Roman" w:hAnsi="Times New Roman" w:cs="Times New Roman"/>
        </w:rPr>
        <w:t xml:space="preserve"> which explains why </w:t>
      </w:r>
      <w:r w:rsidRPr="00B85A66">
        <w:rPr>
          <w:rFonts w:ascii="Times New Roman" w:hAnsi="Times New Roman" w:cs="Times New Roman"/>
        </w:rPr>
        <w:t>“</w:t>
      </w:r>
      <w:r w:rsidRPr="00B85A66">
        <w:rPr>
          <w:rFonts w:ascii="Times New Roman" w:hAnsi="Times New Roman" w:cs="Times New Roman"/>
        </w:rPr>
        <w:t>Integration of ECEC</w:t>
      </w:r>
      <w:r w:rsidRPr="00B85A66">
        <w:rPr>
          <w:rFonts w:ascii="Times New Roman" w:hAnsi="Times New Roman" w:cs="Times New Roman"/>
        </w:rPr>
        <w:t>”</w:t>
      </w:r>
      <w:r w:rsidRPr="00B85A66">
        <w:rPr>
          <w:rFonts w:ascii="Times New Roman" w:hAnsi="Times New Roman" w:cs="Times New Roman"/>
        </w:rPr>
        <w:t xml:space="preserve"> itself is not at the absolute center. Since most infant and toddler care policies mention ECEC integration, two modules appear near the central position.</w:t>
      </w:r>
    </w:p>
    <w:p w14:paraId="772138D9" w14:textId="329BAC32"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 xml:space="preserve">The nodes in Module 1 include </w:t>
      </w:r>
      <w:r w:rsidRPr="00B85A66">
        <w:rPr>
          <w:rFonts w:ascii="Times New Roman" w:hAnsi="Times New Roman" w:cs="Times New Roman"/>
        </w:rPr>
        <w:t>“</w:t>
      </w:r>
      <w:r w:rsidRPr="00B85A66">
        <w:rPr>
          <w:rFonts w:ascii="Times New Roman" w:hAnsi="Times New Roman" w:cs="Times New Roman"/>
        </w:rPr>
        <w:t>Kindergarten,</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Childcare Class,</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Guidance (</w:t>
      </w:r>
      <w:r w:rsidRPr="00B85A66">
        <w:rPr>
          <w:rFonts w:ascii="Times New Roman" w:hAnsi="Times New Roman" w:cs="Times New Roman"/>
        </w:rPr>
        <w:t>指导</w:t>
      </w:r>
      <w:r w:rsidRPr="00B85A66">
        <w:rPr>
          <w:rFonts w:ascii="Times New Roman" w:hAnsi="Times New Roman" w:cs="Times New Roman"/>
        </w:rPr>
        <w:t>),</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Safeguard (</w:t>
      </w:r>
      <w:r w:rsidRPr="00B85A66">
        <w:rPr>
          <w:rFonts w:ascii="Times New Roman" w:hAnsi="Times New Roman" w:cs="Times New Roman"/>
        </w:rPr>
        <w:t>保障</w:t>
      </w:r>
      <w:r w:rsidRPr="00B85A66">
        <w:rPr>
          <w:rFonts w:ascii="Times New Roman" w:hAnsi="Times New Roman" w:cs="Times New Roman"/>
        </w:rPr>
        <w:t>),</w:t>
      </w:r>
      <w:r w:rsidRPr="00B85A66">
        <w:rPr>
          <w:rFonts w:ascii="Times New Roman" w:hAnsi="Times New Roman" w:cs="Times New Roman"/>
        </w:rPr>
        <w:t>”</w:t>
      </w:r>
      <w:r w:rsidRPr="00B85A66">
        <w:rPr>
          <w:rFonts w:ascii="Times New Roman" w:hAnsi="Times New Roman" w:cs="Times New Roman"/>
        </w:rPr>
        <w:t xml:space="preserve"> etc., involving target planning, mechanism establishment, safeguard measures, quality improvement and capacity expansion, and leveraging advantages. This indicates that this module primarily relates to enabling policy instruments for ECEC integration. Keywords like </w:t>
      </w:r>
      <w:r w:rsidRPr="00B85A66">
        <w:rPr>
          <w:rFonts w:ascii="Times New Roman" w:hAnsi="Times New Roman" w:cs="Times New Roman"/>
        </w:rPr>
        <w:t>“</w:t>
      </w:r>
      <w:r w:rsidRPr="00B85A66">
        <w:rPr>
          <w:rFonts w:ascii="Times New Roman" w:hAnsi="Times New Roman" w:cs="Times New Roman"/>
        </w:rPr>
        <w:t>Kindergarten</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Childcare Class</w:t>
      </w:r>
      <w:r w:rsidRPr="00B85A66">
        <w:rPr>
          <w:rFonts w:ascii="Times New Roman" w:hAnsi="Times New Roman" w:cs="Times New Roman"/>
        </w:rPr>
        <w:t>”</w:t>
      </w:r>
      <w:r w:rsidRPr="00B85A66">
        <w:rPr>
          <w:rFonts w:ascii="Times New Roman" w:hAnsi="Times New Roman" w:cs="Times New Roman"/>
        </w:rPr>
        <w:t xml:space="preserve"> in this module are closely linked to those in Module 2, such as </w:t>
      </w:r>
      <w:r w:rsidRPr="00B85A66">
        <w:rPr>
          <w:rFonts w:ascii="Times New Roman" w:hAnsi="Times New Roman" w:cs="Times New Roman"/>
        </w:rPr>
        <w:t>“</w:t>
      </w:r>
      <w:r w:rsidRPr="00B85A66">
        <w:rPr>
          <w:rFonts w:ascii="Times New Roman" w:hAnsi="Times New Roman" w:cs="Times New Roman"/>
        </w:rPr>
        <w:t>Integration of ECEC,</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Child,</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Resource,</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Supply (</w:t>
      </w:r>
      <w:r w:rsidRPr="00B85A66">
        <w:rPr>
          <w:rFonts w:ascii="Times New Roman" w:hAnsi="Times New Roman" w:cs="Times New Roman"/>
        </w:rPr>
        <w:t>供给</w:t>
      </w:r>
      <w:r w:rsidRPr="00B85A66">
        <w:rPr>
          <w:rFonts w:ascii="Times New Roman" w:hAnsi="Times New Roman" w:cs="Times New Roman"/>
        </w:rPr>
        <w:t>).</w:t>
      </w:r>
      <w:r w:rsidRPr="00B85A66">
        <w:rPr>
          <w:rFonts w:ascii="Times New Roman" w:hAnsi="Times New Roman" w:cs="Times New Roman"/>
        </w:rPr>
        <w:t>”</w:t>
      </w:r>
    </w:p>
    <w:p w14:paraId="1543A2B1" w14:textId="7CC7AE1D"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 xml:space="preserve">The nodes in Module 2 include </w:t>
      </w:r>
      <w:r w:rsidRPr="00B85A66">
        <w:rPr>
          <w:rFonts w:ascii="Times New Roman" w:hAnsi="Times New Roman" w:cs="Times New Roman"/>
        </w:rPr>
        <w:t>“</w:t>
      </w:r>
      <w:r w:rsidRPr="00B85A66">
        <w:rPr>
          <w:rFonts w:ascii="Times New Roman" w:hAnsi="Times New Roman" w:cs="Times New Roman"/>
        </w:rPr>
        <w:t>Integration of ECEC,</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Child,</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Resource,</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Supply,</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Health Department,</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Education Department,</w:t>
      </w:r>
      <w:r w:rsidRPr="00B85A66">
        <w:rPr>
          <w:rFonts w:ascii="Times New Roman" w:hAnsi="Times New Roman" w:cs="Times New Roman"/>
        </w:rPr>
        <w:t>”</w:t>
      </w:r>
      <w:r w:rsidRPr="00B85A66">
        <w:rPr>
          <w:rFonts w:ascii="Times New Roman" w:hAnsi="Times New Roman" w:cs="Times New Roman"/>
        </w:rPr>
        <w:t xml:space="preserve"> etc., involving resource supply, service supply, financial supply, etc. It encourages eligible kindergartens to operate childcare classes, with education departments overseeing the management of kindergarten childcare classes and ECEC integration work, and health departments responsible for childcare services and health protection to support education departments in managing integrated ECEC kindergartens. This shows that Module 2 primarily relates to supply-based policy instruments for ECEC integration.</w:t>
      </w:r>
    </w:p>
    <w:p w14:paraId="4849F9D6" w14:textId="6BB349B9" w:rsidR="00B85A66" w:rsidRPr="00B85A66" w:rsidRDefault="00B85A66" w:rsidP="00B85A66">
      <w:pPr>
        <w:ind w:firstLineChars="200" w:firstLine="440"/>
        <w:rPr>
          <w:rFonts w:ascii="Times New Roman" w:hAnsi="Times New Roman" w:cs="Times New Roman"/>
        </w:rPr>
      </w:pPr>
      <w:r w:rsidRPr="00B85A66">
        <w:rPr>
          <w:rFonts w:ascii="Times New Roman" w:hAnsi="Times New Roman" w:cs="Times New Roman"/>
        </w:rPr>
        <w:t xml:space="preserve">The nodes in Module 3 include </w:t>
      </w:r>
      <w:r w:rsidRPr="00B85A66">
        <w:rPr>
          <w:rFonts w:ascii="Times New Roman" w:hAnsi="Times New Roman" w:cs="Times New Roman"/>
        </w:rPr>
        <w:t>“</w:t>
      </w:r>
      <w:r w:rsidRPr="00B85A66">
        <w:rPr>
          <w:rFonts w:ascii="Times New Roman" w:hAnsi="Times New Roman" w:cs="Times New Roman"/>
        </w:rPr>
        <w:t>Infant and Toddler,</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Service,</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Care,</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Finance Department,</w:t>
      </w:r>
      <w:r w:rsidRPr="00B85A66">
        <w:rPr>
          <w:rFonts w:ascii="Times New Roman" w:hAnsi="Times New Roman" w:cs="Times New Roman"/>
        </w:rPr>
        <w:t>”</w:t>
      </w:r>
      <w:r w:rsidRPr="00B85A66">
        <w:rPr>
          <w:rFonts w:ascii="Times New Roman" w:hAnsi="Times New Roman" w:cs="Times New Roman"/>
        </w:rPr>
        <w:t xml:space="preserve"> etc., involving promoting infant and toddler development, meeting ECEC needs, and enriching the care system. Within this module, </w:t>
      </w:r>
      <w:r w:rsidRPr="00B85A66">
        <w:rPr>
          <w:rFonts w:ascii="Times New Roman" w:hAnsi="Times New Roman" w:cs="Times New Roman"/>
        </w:rPr>
        <w:t>“</w:t>
      </w:r>
      <w:r w:rsidRPr="00B85A66">
        <w:rPr>
          <w:rFonts w:ascii="Times New Roman" w:hAnsi="Times New Roman" w:cs="Times New Roman"/>
        </w:rPr>
        <w:t>Infant and Toddler,</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Service,</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Care</w:t>
      </w:r>
      <w:r w:rsidRPr="00B85A66">
        <w:rPr>
          <w:rFonts w:ascii="Times New Roman" w:hAnsi="Times New Roman" w:cs="Times New Roman"/>
        </w:rPr>
        <w:t>”</w:t>
      </w:r>
      <w:r w:rsidRPr="00B85A66">
        <w:rPr>
          <w:rFonts w:ascii="Times New Roman" w:hAnsi="Times New Roman" w:cs="Times New Roman"/>
        </w:rPr>
        <w:t xml:space="preserve"> are closely linked. They are also closely connected to </w:t>
      </w:r>
      <w:r w:rsidRPr="00B85A66">
        <w:rPr>
          <w:rFonts w:ascii="Times New Roman" w:hAnsi="Times New Roman" w:cs="Times New Roman"/>
        </w:rPr>
        <w:t>“</w:t>
      </w:r>
      <w:r w:rsidRPr="00B85A66">
        <w:rPr>
          <w:rFonts w:ascii="Times New Roman" w:hAnsi="Times New Roman" w:cs="Times New Roman"/>
        </w:rPr>
        <w:t>Childcare Class</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Kindergarten</w:t>
      </w:r>
      <w:r w:rsidRPr="00B85A66">
        <w:rPr>
          <w:rFonts w:ascii="Times New Roman" w:hAnsi="Times New Roman" w:cs="Times New Roman"/>
        </w:rPr>
        <w:t>”</w:t>
      </w:r>
      <w:r w:rsidRPr="00B85A66">
        <w:rPr>
          <w:rFonts w:ascii="Times New Roman" w:hAnsi="Times New Roman" w:cs="Times New Roman"/>
        </w:rPr>
        <w:t xml:space="preserve"> in Module 1, and to </w:t>
      </w:r>
      <w:r w:rsidRPr="00B85A66">
        <w:rPr>
          <w:rFonts w:ascii="Times New Roman" w:hAnsi="Times New Roman" w:cs="Times New Roman"/>
        </w:rPr>
        <w:t>“</w:t>
      </w:r>
      <w:r w:rsidRPr="00B85A66">
        <w:rPr>
          <w:rFonts w:ascii="Times New Roman" w:hAnsi="Times New Roman" w:cs="Times New Roman"/>
        </w:rPr>
        <w:t>Integration of ECEC,</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Resource,</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Management</w:t>
      </w:r>
      <w:r w:rsidRPr="00B85A66">
        <w:rPr>
          <w:rFonts w:ascii="Times New Roman" w:hAnsi="Times New Roman" w:cs="Times New Roman"/>
        </w:rPr>
        <w:t>”</w:t>
      </w:r>
      <w:r w:rsidRPr="00B85A66">
        <w:rPr>
          <w:rFonts w:ascii="Times New Roman" w:hAnsi="Times New Roman" w:cs="Times New Roman"/>
        </w:rPr>
        <w:t xml:space="preserve"> in Module 2. This is because most infant and toddler care policies consider </w:t>
      </w:r>
      <w:r w:rsidRPr="00B85A66">
        <w:rPr>
          <w:rFonts w:ascii="Times New Roman" w:hAnsi="Times New Roman" w:cs="Times New Roman"/>
        </w:rPr>
        <w:t>“</w:t>
      </w:r>
      <w:r w:rsidRPr="00B85A66">
        <w:rPr>
          <w:rFonts w:ascii="Times New Roman" w:hAnsi="Times New Roman" w:cs="Times New Roman"/>
        </w:rPr>
        <w:t xml:space="preserve">ECEC </w:t>
      </w:r>
      <w:r w:rsidRPr="00B85A66">
        <w:rPr>
          <w:rFonts w:ascii="Times New Roman" w:hAnsi="Times New Roman" w:cs="Times New Roman"/>
        </w:rPr>
        <w:lastRenderedPageBreak/>
        <w:t>integration</w:t>
      </w:r>
      <w:r w:rsidRPr="00B85A66">
        <w:rPr>
          <w:rFonts w:ascii="Times New Roman" w:hAnsi="Times New Roman" w:cs="Times New Roman"/>
        </w:rPr>
        <w:t>”</w:t>
      </w:r>
      <w:r w:rsidRPr="00B85A66">
        <w:rPr>
          <w:rFonts w:ascii="Times New Roman" w:hAnsi="Times New Roman" w:cs="Times New Roman"/>
        </w:rPr>
        <w:t xml:space="preserve"> as one of the supply systems for such services. Promoting </w:t>
      </w:r>
      <w:r w:rsidRPr="00B85A66">
        <w:rPr>
          <w:rFonts w:ascii="Times New Roman" w:hAnsi="Times New Roman" w:cs="Times New Roman"/>
        </w:rPr>
        <w:t>“</w:t>
      </w:r>
      <w:r w:rsidRPr="00B85A66">
        <w:rPr>
          <w:rFonts w:ascii="Times New Roman" w:hAnsi="Times New Roman" w:cs="Times New Roman"/>
        </w:rPr>
        <w:t>ECEC integration</w:t>
      </w:r>
      <w:r w:rsidRPr="00B85A66">
        <w:rPr>
          <w:rFonts w:ascii="Times New Roman" w:hAnsi="Times New Roman" w:cs="Times New Roman"/>
        </w:rPr>
        <w:t>”</w:t>
      </w:r>
      <w:r w:rsidRPr="00B85A66">
        <w:rPr>
          <w:rFonts w:ascii="Times New Roman" w:hAnsi="Times New Roman" w:cs="Times New Roman"/>
        </w:rPr>
        <w:t xml:space="preserve"> serves as a means to achieve diversified supply of infant and toddler care services, establish a care service system, and thereby meet the care needs of infants, toddlers, and families. Therefore, Module 3 primarily relates to demand-based policy instruments for ECEC integration.</w:t>
      </w:r>
    </w:p>
    <w:p w14:paraId="4D370F2B" w14:textId="02A91EB8" w:rsidR="00B85A66" w:rsidRPr="00B85A66" w:rsidRDefault="00B85A66" w:rsidP="00B85A66">
      <w:pPr>
        <w:ind w:firstLineChars="200" w:firstLine="440"/>
        <w:rPr>
          <w:rFonts w:ascii="Times New Roman" w:hAnsi="Times New Roman" w:cs="Times New Roman" w:hint="eastAsia"/>
        </w:rPr>
      </w:pPr>
      <w:r w:rsidRPr="00B85A66">
        <w:rPr>
          <w:rFonts w:ascii="Times New Roman" w:hAnsi="Times New Roman" w:cs="Times New Roman"/>
        </w:rPr>
        <w:t xml:space="preserve">The nodes in Module 4 include </w:t>
      </w:r>
      <w:r w:rsidRPr="00B85A66">
        <w:rPr>
          <w:rFonts w:ascii="Times New Roman" w:hAnsi="Times New Roman" w:cs="Times New Roman"/>
        </w:rPr>
        <w:t>“</w:t>
      </w:r>
      <w:r w:rsidRPr="00B85A66">
        <w:rPr>
          <w:rFonts w:ascii="Times New Roman" w:hAnsi="Times New Roman" w:cs="Times New Roman"/>
        </w:rPr>
        <w:t>People</w:t>
      </w:r>
      <w:r>
        <w:rPr>
          <w:rFonts w:ascii="Times New Roman" w:hAnsi="Times New Roman" w:cs="Times New Roman" w:hint="eastAsia"/>
        </w:rPr>
        <w:t>’</w:t>
      </w:r>
      <w:r w:rsidRPr="00B85A66">
        <w:rPr>
          <w:rFonts w:ascii="Times New Roman" w:hAnsi="Times New Roman" w:cs="Times New Roman"/>
        </w:rPr>
        <w:t>s Government,</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Department,</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Unit,</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Sub-district (</w:t>
      </w:r>
      <w:r w:rsidRPr="00B85A66">
        <w:rPr>
          <w:rFonts w:ascii="Times New Roman" w:hAnsi="Times New Roman" w:cs="Times New Roman"/>
        </w:rPr>
        <w:t>街道</w:t>
      </w:r>
      <w:r w:rsidRPr="00B85A66">
        <w:rPr>
          <w:rFonts w:ascii="Times New Roman" w:hAnsi="Times New Roman" w:cs="Times New Roman"/>
        </w:rPr>
        <w:t>),</w:t>
      </w:r>
      <w:r w:rsidRPr="00B85A66">
        <w:rPr>
          <w:rFonts w:ascii="Times New Roman" w:hAnsi="Times New Roman" w:cs="Times New Roman"/>
        </w:rPr>
        <w:t>”</w:t>
      </w:r>
      <w:r w:rsidRPr="00B85A66">
        <w:rPr>
          <w:rFonts w:ascii="Times New Roman" w:hAnsi="Times New Roman" w:cs="Times New Roman"/>
        </w:rPr>
        <w:t xml:space="preserve"> etc. The keywords </w:t>
      </w:r>
      <w:r w:rsidRPr="00B85A66">
        <w:rPr>
          <w:rFonts w:ascii="Times New Roman" w:hAnsi="Times New Roman" w:cs="Times New Roman"/>
        </w:rPr>
        <w:t>“</w:t>
      </w:r>
      <w:r w:rsidRPr="00B85A66">
        <w:rPr>
          <w:rFonts w:ascii="Times New Roman" w:hAnsi="Times New Roman" w:cs="Times New Roman"/>
        </w:rPr>
        <w:t>People</w:t>
      </w:r>
      <w:r>
        <w:rPr>
          <w:rFonts w:ascii="Times New Roman" w:hAnsi="Times New Roman" w:cs="Times New Roman" w:hint="eastAsia"/>
        </w:rPr>
        <w:t>’</w:t>
      </w:r>
      <w:r w:rsidRPr="00B85A66">
        <w:rPr>
          <w:rFonts w:ascii="Times New Roman" w:hAnsi="Times New Roman" w:cs="Times New Roman"/>
        </w:rPr>
        <w:t>s Government,</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Department,</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Unit</w:t>
      </w:r>
      <w:r w:rsidRPr="00B85A66">
        <w:rPr>
          <w:rFonts w:ascii="Times New Roman" w:hAnsi="Times New Roman" w:cs="Times New Roman"/>
        </w:rPr>
        <w:t>”</w:t>
      </w:r>
      <w:r w:rsidRPr="00B85A66">
        <w:rPr>
          <w:rFonts w:ascii="Times New Roman" w:hAnsi="Times New Roman" w:cs="Times New Roman"/>
        </w:rPr>
        <w:t xml:space="preserve"> in this module are closely linked to the first three modules. </w:t>
      </w:r>
      <w:r w:rsidRPr="00B85A66">
        <w:rPr>
          <w:rFonts w:ascii="Times New Roman" w:hAnsi="Times New Roman" w:cs="Times New Roman"/>
        </w:rPr>
        <w:t>“</w:t>
      </w:r>
      <w:r w:rsidRPr="00B85A66">
        <w:rPr>
          <w:rFonts w:ascii="Times New Roman" w:hAnsi="Times New Roman" w:cs="Times New Roman"/>
        </w:rPr>
        <w:t>Sub-district</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Administrative Committee (</w:t>
      </w:r>
      <w:r w:rsidRPr="00B85A66">
        <w:rPr>
          <w:rFonts w:ascii="Times New Roman" w:hAnsi="Times New Roman" w:cs="Times New Roman"/>
        </w:rPr>
        <w:t>管委会</w:t>
      </w:r>
      <w:r w:rsidRPr="00B85A66">
        <w:rPr>
          <w:rFonts w:ascii="Times New Roman" w:hAnsi="Times New Roman" w:cs="Times New Roman"/>
        </w:rPr>
        <w:t>)</w:t>
      </w:r>
      <w:r w:rsidRPr="00B85A66">
        <w:rPr>
          <w:rFonts w:ascii="Times New Roman" w:hAnsi="Times New Roman" w:cs="Times New Roman"/>
        </w:rPr>
        <w:t>”</w:t>
      </w:r>
      <w:r w:rsidRPr="00B85A66">
        <w:rPr>
          <w:rFonts w:ascii="Times New Roman" w:hAnsi="Times New Roman" w:cs="Times New Roman"/>
        </w:rPr>
        <w:t xml:space="preserve"> are closely connected to </w:t>
      </w:r>
      <w:r w:rsidRPr="00B85A66">
        <w:rPr>
          <w:rFonts w:ascii="Times New Roman" w:hAnsi="Times New Roman" w:cs="Times New Roman"/>
        </w:rPr>
        <w:t>“</w:t>
      </w:r>
      <w:r w:rsidRPr="00B85A66">
        <w:rPr>
          <w:rFonts w:ascii="Times New Roman" w:hAnsi="Times New Roman" w:cs="Times New Roman"/>
        </w:rPr>
        <w:t>People</w:t>
      </w:r>
      <w:r>
        <w:rPr>
          <w:rFonts w:ascii="Times New Roman" w:hAnsi="Times New Roman" w:cs="Times New Roman" w:hint="eastAsia"/>
        </w:rPr>
        <w:t>’</w:t>
      </w:r>
      <w:r w:rsidRPr="00B85A66">
        <w:rPr>
          <w:rFonts w:ascii="Times New Roman" w:hAnsi="Times New Roman" w:cs="Times New Roman"/>
        </w:rPr>
        <w:t>s Government,</w:t>
      </w:r>
      <w:r w:rsidRPr="00B85A66">
        <w:rPr>
          <w:rFonts w:ascii="Times New Roman" w:hAnsi="Times New Roman" w:cs="Times New Roman"/>
        </w:rPr>
        <w:t>”</w:t>
      </w:r>
      <w:r w:rsidRPr="00B85A66">
        <w:rPr>
          <w:rFonts w:ascii="Times New Roman" w:hAnsi="Times New Roman" w:cs="Times New Roman"/>
        </w:rPr>
        <w:t xml:space="preserve"> </w:t>
      </w:r>
      <w:r w:rsidRPr="00B85A66">
        <w:rPr>
          <w:rFonts w:ascii="Times New Roman" w:hAnsi="Times New Roman" w:cs="Times New Roman"/>
        </w:rPr>
        <w:t>“</w:t>
      </w:r>
      <w:r w:rsidRPr="00B85A66">
        <w:rPr>
          <w:rFonts w:ascii="Times New Roman" w:hAnsi="Times New Roman" w:cs="Times New Roman"/>
        </w:rPr>
        <w:t>Unit,</w:t>
      </w:r>
      <w:r w:rsidRPr="00B85A66">
        <w:rPr>
          <w:rFonts w:ascii="Times New Roman" w:hAnsi="Times New Roman" w:cs="Times New Roman"/>
        </w:rPr>
        <w:t>”</w:t>
      </w:r>
      <w:r w:rsidRPr="00B85A66">
        <w:rPr>
          <w:rFonts w:ascii="Times New Roman" w:hAnsi="Times New Roman" w:cs="Times New Roman"/>
        </w:rPr>
        <w:t xml:space="preserve"> and </w:t>
      </w:r>
      <w:r w:rsidRPr="00B85A66">
        <w:rPr>
          <w:rFonts w:ascii="Times New Roman" w:hAnsi="Times New Roman" w:cs="Times New Roman"/>
        </w:rPr>
        <w:t>“</w:t>
      </w:r>
      <w:r w:rsidRPr="00B85A66">
        <w:rPr>
          <w:rFonts w:ascii="Times New Roman" w:hAnsi="Times New Roman" w:cs="Times New Roman"/>
        </w:rPr>
        <w:t>Department.</w:t>
      </w:r>
      <w:r w:rsidRPr="00B85A66">
        <w:rPr>
          <w:rFonts w:ascii="Times New Roman" w:hAnsi="Times New Roman" w:cs="Times New Roman"/>
        </w:rPr>
        <w:t>”</w:t>
      </w:r>
      <w:r w:rsidRPr="00B85A66">
        <w:rPr>
          <w:rFonts w:ascii="Times New Roman" w:hAnsi="Times New Roman" w:cs="Times New Roman"/>
        </w:rPr>
        <w:t xml:space="preserve"> This reflects the organizational coordination, such as division of labor among departments and coordination across administrative levels, involved in the promulgation and implementation of ECEC integration policies.</w:t>
      </w:r>
    </w:p>
    <w:p w14:paraId="46A759FF" w14:textId="4C696734" w:rsidR="00B85A66" w:rsidRPr="00B85A66" w:rsidRDefault="00B85A66" w:rsidP="00B85A66">
      <w:pPr>
        <w:rPr>
          <w:rFonts w:ascii="Times New Roman" w:hAnsi="Times New Roman" w:cs="Times New Roman" w:hint="eastAsia"/>
        </w:rPr>
      </w:pPr>
      <w:r w:rsidRPr="00B85A66">
        <w:rPr>
          <w:rFonts w:ascii="Cambria Math" w:hAnsi="Cambria Math" w:cs="Cambria Math"/>
        </w:rPr>
        <w:t>②</w:t>
      </w:r>
      <w:r w:rsidRPr="00B85A66">
        <w:rPr>
          <w:rFonts w:ascii="Times New Roman" w:hAnsi="Times New Roman" w:cs="Times New Roman"/>
        </w:rPr>
        <w:t xml:space="preserve"> Coding</w:t>
      </w:r>
    </w:p>
    <w:p w14:paraId="4356D37A" w14:textId="37DC34E0" w:rsidR="008140D7" w:rsidRPr="00B26D40" w:rsidRDefault="00B85A66" w:rsidP="00B85A66">
      <w:pPr>
        <w:ind w:firstLineChars="200" w:firstLine="440"/>
        <w:rPr>
          <w:rFonts w:ascii="Times New Roman" w:eastAsia="宋体" w:hAnsi="Times New Roman" w:cs="Times New Roman"/>
        </w:rPr>
      </w:pPr>
      <w:r w:rsidRPr="00B85A66">
        <w:rPr>
          <w:rFonts w:ascii="Times New Roman" w:hAnsi="Times New Roman" w:cs="Times New Roman"/>
        </w:rPr>
        <w:t xml:space="preserve">Based on the cluster analysis results and referencing existing literature, the policy texts involved in this study were conceptualized and categorized. The policy texts were imported into NVivo for line-by-line close reading and coding of each sentence. Combining the social </w:t>
      </w:r>
      <w:r w:rsidRPr="00B26D40">
        <w:rPr>
          <w:rFonts w:ascii="Times New Roman" w:hAnsi="Times New Roman" w:cs="Times New Roman"/>
        </w:rPr>
        <w:t xml:space="preserve">network knowledge graph and summaries from existing literature, the original policy texts were categorized and conceptualized. Among these, the concept of </w:t>
      </w:r>
      <w:r w:rsidRPr="00B26D40">
        <w:rPr>
          <w:rFonts w:ascii="Times New Roman" w:hAnsi="Times New Roman" w:cs="Times New Roman"/>
        </w:rPr>
        <w:t>“</w:t>
      </w:r>
      <w:r w:rsidRPr="00B26D40">
        <w:rPr>
          <w:rFonts w:ascii="Times New Roman" w:hAnsi="Times New Roman" w:cs="Times New Roman"/>
        </w:rPr>
        <w:t>Safeguard Measures</w:t>
      </w:r>
      <w:r w:rsidRPr="00B26D40">
        <w:rPr>
          <w:rFonts w:ascii="Times New Roman" w:hAnsi="Times New Roman" w:cs="Times New Roman"/>
        </w:rPr>
        <w:t>”</w:t>
      </w:r>
      <w:r w:rsidRPr="00B26D40">
        <w:rPr>
          <w:rFonts w:ascii="Times New Roman" w:hAnsi="Times New Roman" w:cs="Times New Roman"/>
        </w:rPr>
        <w:t xml:space="preserve"> was particularly rich in connotation, warranting the establishment of tertiary variables to explore its internal </w:t>
      </w:r>
      <w:proofErr w:type="gramStart"/>
      <w:r w:rsidRPr="00B26D40">
        <w:rPr>
          <w:rFonts w:ascii="Times New Roman" w:hAnsi="Times New Roman" w:cs="Times New Roman"/>
        </w:rPr>
        <w:t>structure</w:t>
      </w:r>
      <w:r w:rsidRPr="00B26D40">
        <w:rPr>
          <w:rFonts w:ascii="Times New Roman" w:hAnsi="Times New Roman" w:cs="Times New Roman"/>
        </w:rPr>
        <w:t>(</w:t>
      </w:r>
      <w:proofErr w:type="gramEnd"/>
      <w:r w:rsidR="001038C1" w:rsidRPr="00B26D40">
        <w:rPr>
          <w:rFonts w:ascii="Times New Roman" w:eastAsia="宋体" w:hAnsi="Times New Roman" w:cs="Times New Roman"/>
          <w:sz w:val="24"/>
        </w:rPr>
        <w:t>Variable Definition and Coding Scheme</w:t>
      </w:r>
      <w:r w:rsidR="001038C1" w:rsidRPr="00B26D40">
        <w:rPr>
          <w:rFonts w:ascii="Times New Roman" w:eastAsia="宋体" w:hAnsi="Times New Roman" w:cs="Times New Roman"/>
          <w:sz w:val="24"/>
        </w:rPr>
        <w:t>.xlsx</w:t>
      </w:r>
      <w:r w:rsidRPr="00B26D40">
        <w:rPr>
          <w:rFonts w:ascii="Times New Roman" w:eastAsia="宋体" w:hAnsi="Times New Roman" w:cs="Times New Roman"/>
          <w:sz w:val="24"/>
        </w:rPr>
        <w:t>)</w:t>
      </w:r>
      <w:r w:rsidR="008140D7" w:rsidRPr="00B26D40">
        <w:rPr>
          <w:rFonts w:ascii="Times New Roman" w:eastAsia="宋体" w:hAnsi="Times New Roman" w:cs="Times New Roman"/>
          <w:sz w:val="24"/>
        </w:rPr>
        <w:t xml:space="preserve"> </w:t>
      </w:r>
    </w:p>
    <w:p w14:paraId="32C8C5A6" w14:textId="46CD96D5" w:rsidR="00B26D40" w:rsidRPr="00B26D40" w:rsidRDefault="00B26D40" w:rsidP="00B26D40">
      <w:pPr>
        <w:spacing w:line="240" w:lineRule="auto"/>
        <w:rPr>
          <w:rFonts w:ascii="Times New Roman" w:hAnsi="Times New Roman" w:cs="Times New Roman"/>
        </w:rPr>
      </w:pPr>
      <w:bookmarkStart w:id="2" w:name="_Hlk184590036"/>
      <w:bookmarkStart w:id="3" w:name="_Toc198114553"/>
      <w:r w:rsidRPr="00B26D40">
        <w:rPr>
          <w:rFonts w:ascii="Times New Roman" w:hAnsi="Times New Roman" w:cs="Times New Roman"/>
        </w:rPr>
        <w:t>(IV) Construction of the PMC Index System</w:t>
      </w:r>
    </w:p>
    <w:p w14:paraId="213DCCBE" w14:textId="04F50500" w:rsidR="00B26D40" w:rsidRPr="00B26D40" w:rsidRDefault="00B26D40" w:rsidP="00B26D40">
      <w:pPr>
        <w:spacing w:line="240" w:lineRule="auto"/>
        <w:ind w:firstLineChars="200" w:firstLine="440"/>
        <w:rPr>
          <w:rFonts w:ascii="Times New Roman" w:hAnsi="Times New Roman" w:cs="Times New Roman"/>
        </w:rPr>
      </w:pPr>
      <w:r w:rsidRPr="00B26D40">
        <w:rPr>
          <w:rFonts w:ascii="Times New Roman" w:hAnsi="Times New Roman" w:cs="Times New Roman"/>
        </w:rPr>
        <w:t>Based on the aforementioned coding process and supplemented by the integrated ECEC policy texts and existing foundational work, this study constructs the PMC index system for integrated ECEC policies and clarifies the connotations of its components. The system comprises 3 dimensions, 9 primary variables, 34 secondary variables, and 5 tertiary variables.</w:t>
      </w:r>
    </w:p>
    <w:p w14:paraId="04EBCF16" w14:textId="4E99FFBE" w:rsidR="00B26D40" w:rsidRPr="00B26D40" w:rsidRDefault="00B26D40" w:rsidP="00B26D40">
      <w:pPr>
        <w:spacing w:line="240" w:lineRule="auto"/>
        <w:ind w:firstLineChars="200" w:firstLine="440"/>
        <w:rPr>
          <w:rFonts w:ascii="Times New Roman" w:hAnsi="Times New Roman" w:cs="Times New Roman"/>
        </w:rPr>
      </w:pPr>
      <w:r w:rsidRPr="00B26D40">
        <w:rPr>
          <w:rFonts w:ascii="Times New Roman" w:hAnsi="Times New Roman" w:cs="Times New Roman"/>
        </w:rPr>
        <w:t>In the Policy Instrument dimension, the system includes supply-based, enabling, and demand-based policy instruments to reflect the methods and means for promoting ECEC integration. Supply-based policy instruments refer to the government directly acting on factors of production to enhance supply intensity and drive the development of ECEC integration. This variable involves fiscal supply, service supply, and resource supply. Enabling policy instruments refer to the government creating a favorable environment for the development of ECEC integration, thereby providing safeguards. This variable involves target planning, safeguard measures, quality improvement and capacity expansion, and resource pooling. Among these, 'Safeguard Measures' is particularly rich in connotation, necessitating the establishment of tertiary variables to reflect its depth: strengthening institutional management, establishing a service system, improving ECEC mechanisms, enhancing staff competency (primarily involving teacher training), and complying with norms and standards. Demand-based policy instruments refer to stimulating demand for ECEC integration.</w:t>
      </w:r>
    </w:p>
    <w:p w14:paraId="369B6D70" w14:textId="78407693" w:rsidR="00B26D40" w:rsidRPr="00B26D40" w:rsidRDefault="00B26D40" w:rsidP="00B26D40">
      <w:pPr>
        <w:spacing w:line="240" w:lineRule="auto"/>
        <w:ind w:firstLineChars="200" w:firstLine="440"/>
        <w:rPr>
          <w:rFonts w:ascii="Times New Roman" w:hAnsi="Times New Roman" w:cs="Times New Roman"/>
        </w:rPr>
      </w:pPr>
      <w:r w:rsidRPr="00B26D40">
        <w:rPr>
          <w:rFonts w:ascii="Times New Roman" w:hAnsi="Times New Roman" w:cs="Times New Roman"/>
        </w:rPr>
        <w:lastRenderedPageBreak/>
        <w:t>In the Policy Attribute dimension, the system includes organizational coordination, coverage scope, and policy legal force/hierarchy to reflect structural differences in policy implementation intensity, inter-departmental and inter-governmental relations, and key target groups, respectively. Organizational coordination refers to coordination among departments, including division of labor, coordination with superior levels, and coordination with subordinate levels. Coverage scope refers to the target entities of the policy, involving children, families, the government, and institutions. Policy legal force/hierarchy pertains to the actual effect and influence of a policy after its promulgation. This indicator involves local laws and regulations, local normative documents, and local working documents.</w:t>
      </w:r>
    </w:p>
    <w:p w14:paraId="76A6CE2C" w14:textId="77777777" w:rsidR="00B26D40" w:rsidRPr="00B26D40" w:rsidRDefault="00B26D40" w:rsidP="00B26D40">
      <w:pPr>
        <w:spacing w:line="240" w:lineRule="auto"/>
        <w:ind w:firstLineChars="200" w:firstLine="440"/>
        <w:rPr>
          <w:rFonts w:ascii="Times New Roman" w:hAnsi="Times New Roman" w:cs="Times New Roman"/>
        </w:rPr>
      </w:pPr>
      <w:r w:rsidRPr="00B26D40">
        <w:rPr>
          <w:rFonts w:ascii="Times New Roman" w:hAnsi="Times New Roman" w:cs="Times New Roman"/>
        </w:rPr>
        <w:t>In the Policy Theme dimension, the system includes policy nature, policy content, and involved sectors to reflect the key focuses of the policies. Policy nature involves encouragement, prediction, regulation, suggestion, and description. Policy content involves integrated management, integrated curriculum, integrated cooperation, and integrated training (of personnel). Involved sectors involve preschool education, social services, public administration, and health.</w:t>
      </w:r>
    </w:p>
    <w:bookmarkEnd w:id="3"/>
    <w:p w14:paraId="3C9C90B8" w14:textId="213FFA78" w:rsidR="00B26D40" w:rsidRPr="00B26D40" w:rsidRDefault="00B26D40" w:rsidP="00B26D40">
      <w:pPr>
        <w:rPr>
          <w:rFonts w:ascii="Times New Roman" w:hAnsi="Times New Roman" w:cs="Times New Roman"/>
        </w:rPr>
      </w:pPr>
      <w:r w:rsidRPr="00B26D40">
        <w:rPr>
          <w:rFonts w:ascii="Times New Roman" w:hAnsi="Times New Roman" w:cs="Times New Roman"/>
        </w:rPr>
        <w:t>(V) Calculation of the PMC Index</w:t>
      </w:r>
      <w:r w:rsidRPr="00B26D40">
        <w:rPr>
          <w:rFonts w:ascii="Times New Roman" w:hAnsi="Times New Roman" w:cs="Times New Roman"/>
        </w:rPr>
        <w:t xml:space="preserve"> </w:t>
      </w:r>
    </w:p>
    <w:p w14:paraId="3CFAEC48" w14:textId="5E429D62" w:rsidR="00B85A66" w:rsidRPr="00B26D40" w:rsidRDefault="00B85A66" w:rsidP="00B85A66">
      <w:pPr>
        <w:widowControl/>
        <w:spacing w:after="0" w:line="240" w:lineRule="auto"/>
        <w:rPr>
          <w:rFonts w:ascii="Times New Roman" w:eastAsia="黑体" w:hAnsi="Times New Roman" w:cs="Times New Roman"/>
          <w:sz w:val="24"/>
        </w:rPr>
      </w:pPr>
      <w:r w:rsidRPr="00B26D40">
        <w:rPr>
          <w:rFonts w:ascii="Times New Roman" w:eastAsia="黑体" w:hAnsi="Times New Roman" w:cs="Times New Roman"/>
          <w:sz w:val="24"/>
        </w:rPr>
        <w:t>1. Establishing the Multi-Input-Output Table</w:t>
      </w:r>
    </w:p>
    <w:p w14:paraId="014756A2" w14:textId="77777777" w:rsidR="00B85A66" w:rsidRPr="00B85A66" w:rsidRDefault="00B85A66" w:rsidP="00B85A66">
      <w:pPr>
        <w:widowControl/>
        <w:spacing w:after="0" w:line="240" w:lineRule="auto"/>
        <w:ind w:firstLineChars="200" w:firstLine="480"/>
        <w:rPr>
          <w:rFonts w:ascii="Times New Roman" w:eastAsia="黑体" w:hAnsi="Times New Roman" w:cs="Times New Roman"/>
          <w:sz w:val="24"/>
        </w:rPr>
      </w:pPr>
      <w:r w:rsidRPr="00B85A66">
        <w:rPr>
          <w:rFonts w:ascii="Times New Roman" w:eastAsia="黑体" w:hAnsi="Times New Roman" w:cs="Times New Roman"/>
          <w:sz w:val="24"/>
        </w:rPr>
        <w:t>Based on the three-dimensional analytical framework, the primary indicators under each dimension are set as main variables, with their corresponding secondary and tertiary indicators set as sub-variables. A binary coding system is employed for scoring, meaning if a policy addresses a given variable, it is assigned a value of 1; otherwise, it is assigned 0. Assignments for each indicator are made according to the existing formulas, as shown in Equations (1) and (2)</w:t>
      </w:r>
      <w:r w:rsidRPr="00B85A66">
        <w:rPr>
          <w:rFonts w:ascii="Times New Roman" w:eastAsia="黑体" w:hAnsi="Times New Roman" w:cs="Times New Roman"/>
          <w:sz w:val="24"/>
          <w:vertAlign w:val="superscript"/>
        </w:rPr>
        <w:footnoteReference w:id="1"/>
      </w:r>
      <w:r w:rsidRPr="00B85A66">
        <w:rPr>
          <w:rFonts w:ascii="Times New Roman" w:eastAsia="黑体" w:hAnsi="Times New Roman" w:cs="Times New Roman"/>
          <w:sz w:val="24"/>
        </w:rPr>
        <w:t>.</w:t>
      </w:r>
    </w:p>
    <w:p w14:paraId="28D33B7A" w14:textId="77777777" w:rsidR="00B85A66" w:rsidRPr="00B85A66" w:rsidRDefault="00B85A66" w:rsidP="00B85A66">
      <w:pPr>
        <w:widowControl/>
        <w:spacing w:after="0" w:line="240" w:lineRule="auto"/>
        <w:rPr>
          <w:rFonts w:ascii="Times New Roman" w:eastAsia="黑体" w:hAnsi="Times New Roman" w:cs="Times New Roman"/>
          <w:sz w:val="24"/>
        </w:rPr>
      </w:pPr>
      <w:r w:rsidRPr="00B85A66">
        <w:rPr>
          <w:rFonts w:ascii="Times New Roman" w:eastAsia="黑体" w:hAnsi="Times New Roman" w:cs="Times New Roman"/>
          <w:sz w:val="24"/>
        </w:rPr>
        <w:t>2. Calculating the PMC Index</w:t>
      </w:r>
    </w:p>
    <w:p w14:paraId="4A9D7AC2" w14:textId="77777777" w:rsidR="00B85A66" w:rsidRPr="00B85A66" w:rsidRDefault="00B85A66" w:rsidP="00B85A66">
      <w:pPr>
        <w:widowControl/>
        <w:spacing w:after="0" w:line="240" w:lineRule="auto"/>
        <w:ind w:firstLineChars="200" w:firstLine="480"/>
        <w:rPr>
          <w:rFonts w:ascii="Times New Roman" w:eastAsia="黑体" w:hAnsi="Times New Roman" w:cs="Times New Roman"/>
          <w:sz w:val="24"/>
        </w:rPr>
      </w:pPr>
      <w:r w:rsidRPr="00B85A66">
        <w:rPr>
          <w:rFonts w:ascii="Times New Roman" w:eastAsia="黑体" w:hAnsi="Times New Roman" w:cs="Times New Roman"/>
          <w:sz w:val="24"/>
        </w:rPr>
        <w:t>First, the main value of each primary variable is calculated according to Equation (3). Subsequently, these primary variable indicators are substituted into Equation (4), and the PMC index is calculated by summation.</w:t>
      </w:r>
    </w:p>
    <w:p w14:paraId="167B35BD" w14:textId="77777777" w:rsidR="00B85A66" w:rsidRPr="00B85A66" w:rsidRDefault="00B85A66" w:rsidP="00B85A66">
      <w:pPr>
        <w:widowControl/>
        <w:spacing w:after="0" w:line="240" w:lineRule="auto"/>
        <w:jc w:val="right"/>
        <w:rPr>
          <w:rFonts w:ascii="Times New Roman" w:eastAsia="黑体" w:hAnsi="Times New Roman" w:cs="Times New Roman"/>
          <w:sz w:val="24"/>
        </w:rPr>
      </w:pPr>
      <m:oMath>
        <m:m>
          <m:mPr>
            <m:plcHide m:val="1"/>
            <m:mcs>
              <m:mc>
                <m:mcPr>
                  <m:count m:val="4"/>
                  <m:mcJc m:val="center"/>
                </m:mcPr>
              </m:mc>
            </m:mcs>
            <m:ctrlPr>
              <w:rPr>
                <w:rFonts w:ascii="Cambria Math" w:eastAsia="黑体" w:hAnsi="Cambria Math" w:cs="Times New Roman"/>
                <w:sz w:val="24"/>
              </w:rPr>
            </m:ctrlPr>
          </m:mPr>
          <m:mr>
            <m:e/>
            <m:e>
              <m:r>
                <w:rPr>
                  <w:rFonts w:ascii="Cambria Math" w:eastAsia="黑体" w:hAnsi="Cambria Math" w:cs="Times New Roman"/>
                  <w:sz w:val="24"/>
                </w:rPr>
                <m:t>X∼N=[0,1]</m:t>
              </m:r>
            </m:e>
            <m:e>
              <m:r>
                <w:rPr>
                  <w:rFonts w:ascii="Cambria Math" w:eastAsia="黑体" w:hAnsi="Cambria Math" w:cs="Times New Roman"/>
                  <w:sz w:val="24"/>
                </w:rPr>
                <m:t xml:space="preserve">    </m:t>
              </m:r>
            </m:e>
            <m:e/>
          </m:mr>
        </m:m>
      </m:oMath>
      <w:r w:rsidRPr="00B85A66">
        <w:rPr>
          <w:rFonts w:ascii="Times New Roman" w:eastAsia="黑体" w:hAnsi="Times New Roman" w:cs="Times New Roman"/>
          <w:sz w:val="24"/>
        </w:rPr>
        <w:t xml:space="preserve">                      </w:t>
      </w:r>
      <m:oMath>
        <m:r>
          <m:rPr>
            <m:nor/>
          </m:rPr>
          <w:rPr>
            <w:rFonts w:ascii="Times New Roman" w:eastAsia="黑体" w:hAnsi="Times New Roman" w:cs="Times New Roman"/>
            <w:sz w:val="24"/>
          </w:rPr>
          <m:t>(1)</m:t>
        </m:r>
      </m:oMath>
      <w:r w:rsidRPr="00B85A66">
        <w:rPr>
          <w:rFonts w:ascii="Times New Roman" w:eastAsia="黑体" w:hAnsi="Times New Roman" w:cs="Times New Roman"/>
          <w:sz w:val="24"/>
        </w:rPr>
        <w:br/>
      </w:r>
      <m:oMath>
        <m:m>
          <m:mPr>
            <m:plcHide m:val="1"/>
            <m:mcs>
              <m:mc>
                <m:mcPr>
                  <m:count m:val="4"/>
                  <m:mcJc m:val="center"/>
                </m:mcPr>
              </m:mc>
            </m:mcs>
            <m:ctrlPr>
              <w:rPr>
                <w:rFonts w:ascii="Cambria Math" w:eastAsia="黑体" w:hAnsi="Cambria Math" w:cs="Times New Roman"/>
                <w:sz w:val="24"/>
              </w:rPr>
            </m:ctrlPr>
          </m:mPr>
          <m:mr>
            <m:e/>
            <m:e>
              <m:r>
                <w:rPr>
                  <w:rFonts w:ascii="Cambria Math" w:eastAsia="黑体" w:hAnsi="Cambria Math" w:cs="Times New Roman"/>
                  <w:sz w:val="24"/>
                </w:rPr>
                <m:t>X={XR:[0,1]}</m:t>
              </m:r>
            </m:e>
            <m:e/>
            <m:e/>
          </m:mr>
        </m:m>
      </m:oMath>
      <w:r w:rsidRPr="00B85A66">
        <w:rPr>
          <w:rFonts w:ascii="Times New Roman" w:eastAsia="黑体" w:hAnsi="Times New Roman" w:cs="Times New Roman"/>
          <w:sz w:val="24"/>
        </w:rPr>
        <w:t xml:space="preserve">                     </w:t>
      </w:r>
      <m:oMath>
        <m:r>
          <m:rPr>
            <m:nor/>
          </m:rPr>
          <w:rPr>
            <w:rFonts w:ascii="Times New Roman" w:eastAsia="黑体" w:hAnsi="Times New Roman" w:cs="Times New Roman"/>
            <w:sz w:val="24"/>
          </w:rPr>
          <m:t>(2)</m:t>
        </m:r>
      </m:oMath>
      <w:r w:rsidRPr="00B85A66">
        <w:rPr>
          <w:rFonts w:ascii="Times New Roman" w:eastAsia="黑体" w:hAnsi="Times New Roman" w:cs="Times New Roman"/>
          <w:sz w:val="24"/>
        </w:rPr>
        <w:br/>
      </w:r>
      <m:oMath>
        <m:m>
          <m:mPr>
            <m:plcHide m:val="1"/>
            <m:mcs>
              <m:mc>
                <m:mcPr>
                  <m:count m:val="4"/>
                  <m:mcJc m:val="center"/>
                </m:mcPr>
              </m:mc>
            </m:mcs>
            <m:ctrlPr>
              <w:rPr>
                <w:rFonts w:ascii="Cambria Math" w:eastAsia="黑体" w:hAnsi="Cambria Math" w:cs="Times New Roman"/>
                <w:sz w:val="24"/>
              </w:rPr>
            </m:ctrlPr>
          </m:mPr>
          <m:mr>
            <m:e/>
            <m:e>
              <m:sSub>
                <m:sSubPr>
                  <m:ctrlPr>
                    <w:rPr>
                      <w:rFonts w:ascii="Cambria Math" w:eastAsia="宋体" w:hAnsi="Cambria Math" w:cs="Times New Roman"/>
                      <w:sz w:val="24"/>
                    </w:rPr>
                  </m:ctrlPr>
                </m:sSubPr>
                <m:e>
                  <m:r>
                    <w:rPr>
                      <w:rFonts w:ascii="Cambria Math" w:eastAsia="宋体" w:hAnsi="Cambria Math" w:cs="Times New Roman"/>
                      <w:sz w:val="24"/>
                    </w:rPr>
                    <m:t>X</m:t>
                  </m:r>
                </m:e>
                <m:sub>
                  <m:r>
                    <w:rPr>
                      <w:rFonts w:ascii="Cambria Math" w:eastAsia="宋体" w:hAnsi="Cambria Math" w:cs="Times New Roman"/>
                      <w:sz w:val="24"/>
                    </w:rPr>
                    <m:t>ij</m:t>
                  </m:r>
                </m:sub>
              </m:sSub>
              <m:r>
                <m:rPr>
                  <m:sty m:val="p"/>
                </m:rPr>
                <w:rPr>
                  <w:rFonts w:ascii="Cambria Math" w:eastAsia="宋体" w:hAnsi="Cambria Math" w:cs="Times New Roman"/>
                  <w:sz w:val="24"/>
                </w:rPr>
                <m:t>=</m:t>
              </m:r>
              <m:nary>
                <m:naryPr>
                  <m:chr m:val="∑"/>
                  <m:limLoc m:val="undOvr"/>
                  <m:supHide m:val="1"/>
                  <m:ctrlPr>
                    <w:rPr>
                      <w:rFonts w:ascii="Cambria Math" w:eastAsia="宋体" w:hAnsi="Cambria Math" w:cs="Times New Roman"/>
                      <w:sz w:val="24"/>
                    </w:rPr>
                  </m:ctrlPr>
                </m:naryPr>
                <m:sub>
                  <m:r>
                    <w:rPr>
                      <w:rFonts w:ascii="Cambria Math" w:eastAsia="宋体" w:hAnsi="Cambria Math" w:cs="Times New Roman"/>
                      <w:sz w:val="24"/>
                    </w:rPr>
                    <m:t>k</m:t>
                  </m:r>
                  <m:r>
                    <m:rPr>
                      <m:sty m:val="p"/>
                    </m:rPr>
                    <w:rPr>
                      <w:rFonts w:ascii="Cambria Math" w:eastAsia="宋体" w:hAnsi="Cambria Math" w:cs="Times New Roman"/>
                      <w:sz w:val="24"/>
                    </w:rPr>
                    <m:t>=1</m:t>
                  </m:r>
                </m:sub>
                <m:sup/>
                <m:e>
                  <m:sSub>
                    <m:sSubPr>
                      <m:ctrlPr>
                        <w:rPr>
                          <w:rFonts w:ascii="Cambria Math" w:eastAsia="宋体" w:hAnsi="Cambria Math" w:cs="Times New Roman"/>
                          <w:sz w:val="24"/>
                        </w:rPr>
                      </m:ctrlPr>
                    </m:sSubPr>
                    <m:e>
                      <m:r>
                        <w:rPr>
                          <w:rFonts w:ascii="Cambria Math" w:eastAsia="宋体" w:hAnsi="Cambria Math" w:cs="Times New Roman"/>
                          <w:sz w:val="24"/>
                        </w:rPr>
                        <m:t>X</m:t>
                      </m:r>
                    </m:e>
                    <m:sub>
                      <m:r>
                        <w:rPr>
                          <w:rFonts w:ascii="Cambria Math" w:eastAsia="宋体" w:hAnsi="Cambria Math" w:cs="Times New Roman"/>
                          <w:sz w:val="24"/>
                        </w:rPr>
                        <m:t>ijk</m:t>
                      </m:r>
                      <m:r>
                        <m:rPr>
                          <m:sty m:val="p"/>
                        </m:rPr>
                        <w:rPr>
                          <w:rFonts w:ascii="Cambria Math" w:eastAsia="宋体" w:hAnsi="Cambria Math" w:cs="Times New Roman"/>
                          <w:sz w:val="24"/>
                        </w:rPr>
                        <m:t xml:space="preserve"> </m:t>
                      </m:r>
                    </m:sub>
                  </m:sSub>
                  <m:r>
                    <m:rPr>
                      <m:sty m:val="p"/>
                    </m:rPr>
                    <w:rPr>
                      <w:rFonts w:ascii="Cambria Math" w:eastAsia="宋体" w:hAnsi="Cambria Math" w:cs="Times New Roman"/>
                      <w:sz w:val="24"/>
                    </w:rPr>
                    <m:t>×</m:t>
                  </m:r>
                  <m:f>
                    <m:fPr>
                      <m:ctrlPr>
                        <w:rPr>
                          <w:rFonts w:ascii="Cambria Math" w:eastAsia="宋体" w:hAnsi="Cambria Math" w:cs="Times New Roman"/>
                          <w:sz w:val="24"/>
                        </w:rPr>
                      </m:ctrlPr>
                    </m:fPr>
                    <m:num>
                      <m:r>
                        <m:rPr>
                          <m:sty m:val="p"/>
                        </m:rPr>
                        <w:rPr>
                          <w:rFonts w:ascii="Cambria Math" w:eastAsia="宋体" w:hAnsi="Cambria Math" w:cs="Times New Roman"/>
                          <w:sz w:val="24"/>
                        </w:rPr>
                        <m:t>1</m:t>
                      </m:r>
                    </m:num>
                    <m:den>
                      <m:r>
                        <w:rPr>
                          <w:rFonts w:ascii="Cambria Math" w:eastAsia="宋体" w:hAnsi="Cambria Math" w:cs="Times New Roman"/>
                          <w:sz w:val="24"/>
                        </w:rPr>
                        <m:t>S</m:t>
                      </m:r>
                    </m:den>
                  </m:f>
                </m:e>
              </m:nary>
              <m:r>
                <m:rPr>
                  <m:sty m:val="p"/>
                </m:rPr>
                <w:rPr>
                  <w:rFonts w:ascii="Cambria Math" w:eastAsia="宋体" w:hAnsi="Cambria Math" w:cs="Times New Roman"/>
                  <w:sz w:val="24"/>
                </w:rPr>
                <m:t xml:space="preserve"> </m:t>
              </m:r>
            </m:e>
            <m:e/>
            <m:e/>
          </m:mr>
        </m:m>
      </m:oMath>
      <w:r w:rsidRPr="00B85A66">
        <w:rPr>
          <w:rFonts w:ascii="Times New Roman" w:eastAsia="黑体" w:hAnsi="Times New Roman" w:cs="Times New Roman"/>
          <w:sz w:val="24"/>
        </w:rPr>
        <w:t xml:space="preserve">                   </w:t>
      </w:r>
      <m:oMath>
        <m:r>
          <m:rPr>
            <m:nor/>
          </m:rPr>
          <w:rPr>
            <w:rFonts w:ascii="Times New Roman" w:eastAsia="黑体" w:hAnsi="Times New Roman" w:cs="Times New Roman"/>
            <w:sz w:val="24"/>
          </w:rPr>
          <m:t>(3)</m:t>
        </m:r>
      </m:oMath>
    </w:p>
    <w:p w14:paraId="0FC959F2" w14:textId="77777777" w:rsidR="00B85A66" w:rsidRPr="00B85A66" w:rsidRDefault="00B85A66" w:rsidP="00B85A66">
      <w:pPr>
        <w:widowControl/>
        <w:spacing w:after="0" w:line="360" w:lineRule="auto"/>
        <w:ind w:firstLineChars="200" w:firstLine="480"/>
        <w:jc w:val="both"/>
        <w:rPr>
          <w:rFonts w:ascii="Times New Roman" w:hAnsi="Times New Roman" w:cs="Times New Roman"/>
          <w:sz w:val="24"/>
        </w:rPr>
      </w:pPr>
      <w:r w:rsidRPr="00B85A66">
        <w:rPr>
          <w:rFonts w:ascii="Times New Roman" w:eastAsia="黑体" w:hAnsi="Times New Roman" w:cs="Times New Roman"/>
          <w:sz w:val="24"/>
        </w:rPr>
        <w:lastRenderedPageBreak/>
        <w:t>In Equation (3): </w:t>
      </w:r>
      <w:proofErr w:type="spellStart"/>
      <w:r w:rsidRPr="00B85A66">
        <w:rPr>
          <w:rFonts w:ascii="Times New Roman" w:hAnsi="Times New Roman" w:cs="Times New Roman"/>
          <w:i/>
          <w:iCs/>
          <w:sz w:val="24"/>
        </w:rPr>
        <w:t>i</w:t>
      </w:r>
      <w:proofErr w:type="spellEnd"/>
      <w:r w:rsidRPr="00B85A66">
        <w:rPr>
          <w:rFonts w:ascii="Times New Roman" w:hAnsi="Times New Roman" w:cs="Times New Roman"/>
          <w:sz w:val="24"/>
        </w:rPr>
        <w:t xml:space="preserve"> represents the primary indicator; </w:t>
      </w:r>
      <w:r w:rsidRPr="00B85A66">
        <w:rPr>
          <w:rFonts w:ascii="Times New Roman" w:hAnsi="Times New Roman" w:cs="Times New Roman"/>
          <w:i/>
          <w:iCs/>
          <w:sz w:val="24"/>
        </w:rPr>
        <w:t>j</w:t>
      </w:r>
      <w:r w:rsidRPr="00B85A66">
        <w:rPr>
          <w:rFonts w:ascii="Times New Roman" w:hAnsi="Times New Roman" w:cs="Times New Roman"/>
          <w:sz w:val="24"/>
        </w:rPr>
        <w:t xml:space="preserve"> represents the secondary indicator; </w:t>
      </w:r>
      <w:r w:rsidRPr="00B85A66">
        <w:rPr>
          <w:rFonts w:ascii="Times New Roman" w:hAnsi="Times New Roman" w:cs="Times New Roman"/>
          <w:i/>
          <w:iCs/>
          <w:sz w:val="24"/>
        </w:rPr>
        <w:t>k</w:t>
      </w:r>
      <w:r w:rsidRPr="00B85A66">
        <w:rPr>
          <w:rFonts w:ascii="Times New Roman" w:hAnsi="Times New Roman" w:cs="Times New Roman"/>
          <w:sz w:val="24"/>
        </w:rPr>
        <w:t xml:space="preserve"> represents the tertiary indicator; </w:t>
      </w:r>
      <w:proofErr w:type="spellStart"/>
      <w:r w:rsidRPr="00B85A66">
        <w:rPr>
          <w:rFonts w:ascii="Times New Roman" w:hAnsi="Times New Roman" w:cs="Times New Roman"/>
          <w:i/>
          <w:iCs/>
          <w:sz w:val="24"/>
        </w:rPr>
        <w:t>ij</w:t>
      </w:r>
      <w:proofErr w:type="spellEnd"/>
      <w:r w:rsidRPr="00B85A66">
        <w:rPr>
          <w:rFonts w:ascii="Times New Roman" w:hAnsi="Times New Roman" w:cs="Times New Roman"/>
          <w:sz w:val="24"/>
        </w:rPr>
        <w:t>=1,2,3,</w:t>
      </w:r>
      <w:r w:rsidRPr="00B85A66">
        <w:rPr>
          <w:rFonts w:ascii="Times New Roman" w:eastAsia="宋体" w:hAnsi="Times New Roman" w:cs="Times New Roman"/>
          <w:sz w:val="24"/>
        </w:rPr>
        <w:t xml:space="preserve"> </w:t>
      </w:r>
      <w:r w:rsidRPr="00B85A66">
        <w:rPr>
          <w:rFonts w:ascii="Times New Roman" w:hAnsi="Times New Roman" w:cs="Times New Roman"/>
          <w:sz w:val="24"/>
        </w:rPr>
        <w:t>...,</w:t>
      </w:r>
      <w:r w:rsidRPr="00B85A66">
        <w:rPr>
          <w:rFonts w:ascii="Times New Roman" w:eastAsia="宋体" w:hAnsi="Times New Roman" w:cs="Times New Roman"/>
          <w:sz w:val="24"/>
        </w:rPr>
        <w:t xml:space="preserve"> </w:t>
      </w:r>
      <w:r w:rsidRPr="00B85A66">
        <w:rPr>
          <w:rFonts w:ascii="Times New Roman" w:hAnsi="Times New Roman" w:cs="Times New Roman"/>
          <w:i/>
          <w:iCs/>
          <w:sz w:val="24"/>
        </w:rPr>
        <w:t>s</w:t>
      </w:r>
      <w:r w:rsidRPr="00B85A66">
        <w:rPr>
          <w:rFonts w:ascii="Times New Roman" w:hAnsi="Times New Roman" w:cs="Times New Roman"/>
          <w:sz w:val="24"/>
        </w:rPr>
        <w:t xml:space="preserve">; </w:t>
      </w:r>
      <w:r w:rsidRPr="00B85A66">
        <w:rPr>
          <w:rFonts w:ascii="Times New Roman" w:hAnsi="Times New Roman" w:cs="Times New Roman"/>
          <w:i/>
          <w:iCs/>
          <w:sz w:val="24"/>
        </w:rPr>
        <w:t>s</w:t>
      </w:r>
      <w:r w:rsidRPr="00B85A66">
        <w:rPr>
          <w:rFonts w:ascii="Times New Roman" w:hAnsi="Times New Roman" w:cs="Times New Roman"/>
          <w:sz w:val="24"/>
        </w:rPr>
        <w:t xml:space="preserve"> represents the number of tertiary indicators under the secondary indicator; X</w:t>
      </w:r>
      <w:r w:rsidRPr="00B85A66">
        <w:rPr>
          <w:rFonts w:ascii="Times New Roman" w:hAnsi="Times New Roman" w:cs="Times New Roman"/>
          <w:sz w:val="24"/>
          <w:vertAlign w:val="subscript"/>
        </w:rPr>
        <w:t>i</w:t>
      </w:r>
      <w:r w:rsidRPr="00B85A66">
        <w:rPr>
          <w:rFonts w:ascii="Times New Roman" w:hAnsi="Times New Roman" w:cs="Times New Roman"/>
          <w:sz w:val="24"/>
        </w:rPr>
        <w:t xml:space="preserve"> is the value of the primary indicator; </w:t>
      </w:r>
      <w:proofErr w:type="spellStart"/>
      <w:r w:rsidRPr="00B85A66">
        <w:rPr>
          <w:rFonts w:ascii="Times New Roman" w:hAnsi="Times New Roman" w:cs="Times New Roman"/>
          <w:sz w:val="24"/>
        </w:rPr>
        <w:t>X</w:t>
      </w:r>
      <w:r w:rsidRPr="00B85A66">
        <w:rPr>
          <w:rFonts w:ascii="Times New Roman" w:hAnsi="Times New Roman" w:cs="Times New Roman"/>
          <w:sz w:val="24"/>
          <w:vertAlign w:val="subscript"/>
        </w:rPr>
        <w:t>ij</w:t>
      </w:r>
      <w:proofErr w:type="spellEnd"/>
      <w:r w:rsidRPr="00B85A66">
        <w:rPr>
          <w:rFonts w:ascii="Times New Roman" w:hAnsi="Times New Roman" w:cs="Times New Roman"/>
          <w:sz w:val="24"/>
        </w:rPr>
        <w:t xml:space="preserve"> is the value of the secondary indicator; </w:t>
      </w:r>
      <w:proofErr w:type="spellStart"/>
      <w:r w:rsidRPr="00B85A66">
        <w:rPr>
          <w:rFonts w:ascii="Times New Roman" w:hAnsi="Times New Roman" w:cs="Times New Roman"/>
          <w:sz w:val="24"/>
        </w:rPr>
        <w:t>X</w:t>
      </w:r>
      <w:r w:rsidRPr="00B85A66">
        <w:rPr>
          <w:rFonts w:ascii="Times New Roman" w:hAnsi="Times New Roman" w:cs="Times New Roman"/>
          <w:sz w:val="24"/>
          <w:vertAlign w:val="subscript"/>
        </w:rPr>
        <w:t>ijk</w:t>
      </w:r>
      <w:proofErr w:type="spellEnd"/>
      <w:r w:rsidRPr="00B85A66">
        <w:rPr>
          <w:rFonts w:ascii="Times New Roman" w:hAnsi="Times New Roman" w:cs="Times New Roman"/>
          <w:sz w:val="24"/>
        </w:rPr>
        <w:t xml:space="preserve"> is the value of the tertiary indicator.  </w:t>
      </w:r>
    </w:p>
    <w:p w14:paraId="3A8C5AED" w14:textId="77777777" w:rsidR="00B85A66" w:rsidRPr="00B85A66" w:rsidRDefault="00B85A66" w:rsidP="00B85A66">
      <w:pPr>
        <w:widowControl/>
        <w:spacing w:after="0" w:line="240" w:lineRule="auto"/>
        <w:jc w:val="right"/>
        <w:rPr>
          <w:rFonts w:ascii="Times New Roman" w:eastAsia="黑体" w:hAnsi="Times New Roman" w:cs="Times New Roman"/>
          <w:sz w:val="24"/>
        </w:rPr>
      </w:pPr>
      <m:oMath>
        <m:m>
          <m:mPr>
            <m:plcHide m:val="1"/>
            <m:mcs>
              <m:mc>
                <m:mcPr>
                  <m:count m:val="4"/>
                  <m:mcJc m:val="center"/>
                </m:mcPr>
              </m:mc>
            </m:mcs>
            <m:ctrlPr>
              <w:rPr>
                <w:rFonts w:ascii="Cambria Math" w:eastAsia="黑体" w:hAnsi="Cambria Math" w:cs="Times New Roman"/>
                <w:sz w:val="24"/>
              </w:rPr>
            </m:ctrlPr>
          </m:mPr>
          <m:mr>
            <m:e/>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i</m:t>
                  </m:r>
                </m:sub>
              </m:sSub>
              <m:r>
                <w:rPr>
                  <w:rFonts w:ascii="Cambria Math" w:eastAsia="黑体" w:hAnsi="Cambria Math" w:cs="Times New Roman"/>
                  <w:sz w:val="24"/>
                </w:rPr>
                <m:t>=</m:t>
              </m:r>
              <m:nary>
                <m:naryPr>
                  <m:chr m:val="∑"/>
                  <m:limLoc m:val="undOvr"/>
                  <m:grow m:val="1"/>
                  <m:ctrlPr>
                    <w:rPr>
                      <w:rFonts w:ascii="Cambria Math" w:eastAsia="黑体" w:hAnsi="Cambria Math" w:cs="Times New Roman"/>
                      <w:sz w:val="24"/>
                    </w:rPr>
                  </m:ctrlPr>
                </m:naryPr>
                <m:sub>
                  <m:r>
                    <w:rPr>
                      <w:rFonts w:ascii="Cambria Math" w:eastAsia="黑体" w:hAnsi="Cambria Math" w:cs="Times New Roman"/>
                      <w:sz w:val="24"/>
                    </w:rPr>
                    <m:t>j=1</m:t>
                  </m:r>
                </m:sub>
                <m:sup>
                  <m:r>
                    <w:rPr>
                      <w:rFonts w:ascii="Cambria Math" w:eastAsia="黑体" w:hAnsi="Cambria Math" w:cs="Times New Roman"/>
                      <w:sz w:val="24"/>
                    </w:rPr>
                    <m:t>n</m:t>
                  </m:r>
                </m:sup>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ij</m:t>
                      </m:r>
                    </m:sub>
                  </m:sSub>
                  <m:r>
                    <w:rPr>
                      <w:rFonts w:ascii="Cambria Math" w:eastAsia="黑体" w:hAnsi="Cambria Math" w:cs="Times New Roman"/>
                      <w:sz w:val="24"/>
                    </w:rPr>
                    <m:t>×</m:t>
                  </m:r>
                  <m:f>
                    <m:fPr>
                      <m:ctrlPr>
                        <w:rPr>
                          <w:rFonts w:ascii="Cambria Math" w:eastAsia="黑体" w:hAnsi="Cambria Math" w:cs="Times New Roman"/>
                          <w:sz w:val="24"/>
                        </w:rPr>
                      </m:ctrlPr>
                    </m:fPr>
                    <m:num>
                      <m:r>
                        <w:rPr>
                          <w:rFonts w:ascii="Cambria Math" w:eastAsia="黑体" w:hAnsi="Cambria Math" w:cs="Times New Roman"/>
                          <w:sz w:val="24"/>
                        </w:rPr>
                        <m:t>1</m:t>
                      </m:r>
                    </m:num>
                    <m:den>
                      <m:r>
                        <w:rPr>
                          <w:rFonts w:ascii="Cambria Math" w:eastAsia="黑体" w:hAnsi="Cambria Math" w:cs="Times New Roman"/>
                          <w:sz w:val="24"/>
                        </w:rPr>
                        <m:t>n</m:t>
                      </m:r>
                    </m:den>
                  </m:f>
                </m:e>
              </m:nary>
            </m:e>
            <m:e/>
            <m:e/>
          </m:mr>
        </m:m>
      </m:oMath>
      <w:r w:rsidRPr="00B85A66">
        <w:rPr>
          <w:rFonts w:ascii="Times New Roman" w:eastAsia="黑体" w:hAnsi="Times New Roman" w:cs="Times New Roman"/>
          <w:sz w:val="24"/>
        </w:rPr>
        <w:t xml:space="preserve">                  </w:t>
      </w:r>
      <m:oMath>
        <m:r>
          <m:rPr>
            <m:nor/>
          </m:rPr>
          <w:rPr>
            <w:rFonts w:ascii="Times New Roman" w:eastAsia="黑体" w:hAnsi="Times New Roman" w:cs="Times New Roman"/>
            <w:sz w:val="24"/>
          </w:rPr>
          <m:t>(4)</m:t>
        </m:r>
      </m:oMath>
      <w:r w:rsidRPr="00B85A66">
        <w:rPr>
          <w:rFonts w:ascii="Times New Roman" w:eastAsia="黑体" w:hAnsi="Times New Roman" w:cs="Times New Roman"/>
          <w:sz w:val="24"/>
        </w:rPr>
        <w:br/>
      </w:r>
      <m:oMath>
        <m:m>
          <m:mPr>
            <m:plcHide m:val="1"/>
            <m:mcs>
              <m:mc>
                <m:mcPr>
                  <m:count m:val="4"/>
                  <m:mcJc m:val="center"/>
                </m:mcPr>
              </m:mc>
            </m:mcs>
            <m:ctrlPr>
              <w:rPr>
                <w:rFonts w:ascii="Cambria Math" w:eastAsia="黑体" w:hAnsi="Cambria Math" w:cs="Times New Roman"/>
                <w:sz w:val="24"/>
              </w:rPr>
            </m:ctrlPr>
          </m:mPr>
          <m:mr>
            <m:e/>
            <m:e>
              <m:r>
                <w:rPr>
                  <w:rFonts w:ascii="Cambria Math" w:eastAsia="黑体" w:hAnsi="Cambria Math" w:cs="Times New Roman"/>
                  <w:sz w:val="24"/>
                </w:rPr>
                <m:t>PMC=∑</m:t>
              </m:r>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i</m:t>
                  </m:r>
                </m:sub>
              </m:sSub>
            </m:e>
            <m:e/>
            <m:e>
              <m:r>
                <w:rPr>
                  <w:rFonts w:ascii="Cambria Math" w:eastAsia="黑体" w:hAnsi="Cambria Math" w:cs="Times New Roman"/>
                  <w:sz w:val="24"/>
                </w:rPr>
                <m:t xml:space="preserve"> </m:t>
              </m:r>
            </m:e>
          </m:mr>
        </m:m>
      </m:oMath>
      <w:r w:rsidRPr="00B85A66">
        <w:rPr>
          <w:rFonts w:ascii="Times New Roman" w:eastAsia="黑体" w:hAnsi="Times New Roman" w:cs="Times New Roman"/>
          <w:sz w:val="24"/>
        </w:rPr>
        <w:t xml:space="preserve">                         </w:t>
      </w:r>
      <m:oMath>
        <m:r>
          <m:rPr>
            <m:nor/>
          </m:rPr>
          <w:rPr>
            <w:rFonts w:ascii="Times New Roman" w:eastAsia="黑体" w:hAnsi="Times New Roman" w:cs="Times New Roman"/>
            <w:sz w:val="24"/>
          </w:rPr>
          <m:t>(5)</m:t>
        </m:r>
      </m:oMath>
    </w:p>
    <w:p w14:paraId="358910E9" w14:textId="77777777" w:rsidR="00B85A66" w:rsidRPr="00B85A66" w:rsidRDefault="00B85A66" w:rsidP="00B85A66">
      <w:pPr>
        <w:widowControl/>
        <w:spacing w:after="0" w:line="240" w:lineRule="auto"/>
        <w:ind w:firstLineChars="200" w:firstLine="480"/>
        <w:rPr>
          <w:rFonts w:ascii="Times New Roman" w:eastAsia="黑体" w:hAnsi="Times New Roman" w:cs="Times New Roman"/>
          <w:sz w:val="24"/>
        </w:rPr>
      </w:pPr>
      <w:r w:rsidRPr="00B85A66">
        <w:rPr>
          <w:rFonts w:ascii="Times New Roman" w:eastAsia="黑体" w:hAnsi="Times New Roman" w:cs="Times New Roman"/>
          <w:sz w:val="24"/>
        </w:rPr>
        <w:t>To further examine the three dimensions of policy instruments, attributes, and themes, and to explore structural preferences within the policies, the Policy Instrument Index (I), Policy Attribute Index (A), and Policy Theme Index (T) are calculated.</w:t>
      </w:r>
    </w:p>
    <w:p w14:paraId="665A9A2D" w14:textId="77777777" w:rsidR="00B85A66" w:rsidRPr="00B85A66" w:rsidRDefault="00B85A66" w:rsidP="00B85A66">
      <w:pPr>
        <w:widowControl/>
        <w:spacing w:after="0" w:line="360" w:lineRule="auto"/>
        <w:jc w:val="right"/>
        <w:rPr>
          <w:rFonts w:ascii="Times New Roman" w:eastAsia="宋体" w:hAnsi="Times New Roman" w:cs="Times New Roman"/>
          <w:sz w:val="24"/>
        </w:rPr>
      </w:pPr>
      <m:oMath>
        <m:r>
          <m:rPr>
            <m:sty m:val="p"/>
          </m:rPr>
          <w:rPr>
            <w:rFonts w:ascii="Cambria Math" w:eastAsia="宋体" w:hAnsi="Cambria Math" w:cs="Times New Roman"/>
            <w:sz w:val="24"/>
          </w:rPr>
          <m:t>I=</m:t>
        </m:r>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3</m:t>
            </m:r>
          </m:sub>
        </m:sSub>
      </m:oMath>
      <w:r w:rsidRPr="00B85A66">
        <w:rPr>
          <w:rFonts w:ascii="Times New Roman" w:eastAsia="宋体" w:hAnsi="Times New Roman" w:cs="Times New Roman"/>
          <w:sz w:val="24"/>
        </w:rPr>
        <w:t xml:space="preserve">                          </w:t>
      </w:r>
      <w:r w:rsidRPr="00B85A66">
        <w:rPr>
          <w:rFonts w:ascii="Times New Roman" w:hAnsi="Times New Roman" w:cs="Times New Roman"/>
          <w:sz w:val="24"/>
        </w:rPr>
        <w:t>(6)</w:t>
      </w:r>
    </w:p>
    <w:p w14:paraId="3CD9A0E4" w14:textId="77777777" w:rsidR="00B85A66" w:rsidRPr="00B85A66" w:rsidRDefault="00B85A66" w:rsidP="00B85A66">
      <w:pPr>
        <w:widowControl/>
        <w:spacing w:after="0" w:line="360" w:lineRule="auto"/>
        <w:jc w:val="right"/>
        <w:rPr>
          <w:rFonts w:ascii="Times New Roman" w:eastAsia="宋体" w:hAnsi="Times New Roman" w:cs="Times New Roman"/>
          <w:sz w:val="24"/>
        </w:rPr>
      </w:pPr>
      <m:oMath>
        <m:r>
          <m:rPr>
            <m:sty m:val="p"/>
          </m:rPr>
          <w:rPr>
            <w:rFonts w:ascii="Cambria Math" w:eastAsia="宋体" w:hAnsi="Cambria Math" w:cs="Times New Roman"/>
            <w:sz w:val="24"/>
          </w:rPr>
          <m:t>A=</m:t>
        </m:r>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4</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5</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6</m:t>
            </m:r>
          </m:sub>
        </m:sSub>
      </m:oMath>
      <w:r w:rsidRPr="00B85A66">
        <w:rPr>
          <w:rFonts w:ascii="Times New Roman" w:eastAsia="宋体" w:hAnsi="Times New Roman" w:cs="Times New Roman"/>
          <w:sz w:val="24"/>
        </w:rPr>
        <w:t xml:space="preserve">                          </w:t>
      </w:r>
      <w:r w:rsidRPr="00B85A66">
        <w:rPr>
          <w:rFonts w:ascii="Times New Roman" w:hAnsi="Times New Roman" w:cs="Times New Roman"/>
          <w:sz w:val="24"/>
        </w:rPr>
        <w:t>(7)</w:t>
      </w:r>
    </w:p>
    <w:p w14:paraId="03FE1DED" w14:textId="77777777" w:rsidR="00B85A66" w:rsidRPr="00B85A66" w:rsidRDefault="00B85A66" w:rsidP="00B85A66">
      <w:pPr>
        <w:widowControl/>
        <w:spacing w:after="0" w:line="360" w:lineRule="auto"/>
        <w:jc w:val="right"/>
        <w:rPr>
          <w:rFonts w:ascii="Times New Roman" w:hAnsi="Times New Roman" w:cs="Times New Roman"/>
          <w:sz w:val="24"/>
        </w:rPr>
      </w:pPr>
      <m:oMath>
        <m:r>
          <m:rPr>
            <m:sty m:val="p"/>
          </m:rPr>
          <w:rPr>
            <w:rFonts w:ascii="Cambria Math" w:eastAsia="宋体" w:hAnsi="Cambria Math" w:cs="Times New Roman"/>
            <w:sz w:val="24"/>
          </w:rPr>
          <m:t>T=</m:t>
        </m:r>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7</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8</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9</m:t>
            </m:r>
          </m:sub>
        </m:sSub>
      </m:oMath>
      <w:r w:rsidRPr="00B85A66">
        <w:rPr>
          <w:rFonts w:ascii="Times New Roman" w:eastAsia="宋体" w:hAnsi="Times New Roman" w:cs="Times New Roman"/>
          <w:sz w:val="24"/>
        </w:rPr>
        <w:t xml:space="preserve">                        </w:t>
      </w:r>
      <w:r w:rsidRPr="00B85A66">
        <w:rPr>
          <w:rFonts w:ascii="Times New Roman" w:hAnsi="Times New Roman" w:cs="Times New Roman"/>
          <w:sz w:val="24"/>
        </w:rPr>
        <w:t xml:space="preserve">  (8)</w:t>
      </w:r>
    </w:p>
    <w:p w14:paraId="46CED16F" w14:textId="77777777" w:rsidR="00B85A66" w:rsidRPr="00B85A66" w:rsidRDefault="00B85A66" w:rsidP="00B85A66">
      <w:pPr>
        <w:widowControl/>
        <w:spacing w:after="0" w:line="240" w:lineRule="auto"/>
        <w:rPr>
          <w:rFonts w:ascii="Times New Roman" w:eastAsia="黑体" w:hAnsi="Times New Roman" w:cs="Times New Roman"/>
          <w:sz w:val="24"/>
        </w:rPr>
      </w:pPr>
      <w:r w:rsidRPr="00B85A66">
        <w:rPr>
          <w:rFonts w:ascii="Times New Roman" w:eastAsia="黑体" w:hAnsi="Times New Roman" w:cs="Times New Roman"/>
          <w:sz w:val="24"/>
        </w:rPr>
        <w:t>3. Plotting the PMC Surface</w:t>
      </w:r>
    </w:p>
    <w:p w14:paraId="07455BFB" w14:textId="672BC0CE" w:rsidR="00B85A66" w:rsidRPr="00B85A66" w:rsidRDefault="00B85A66" w:rsidP="00B85A66">
      <w:pPr>
        <w:widowControl/>
        <w:spacing w:after="0" w:line="240" w:lineRule="auto"/>
        <w:ind w:firstLineChars="200" w:firstLine="480"/>
        <w:rPr>
          <w:rFonts w:ascii="Times New Roman" w:eastAsia="黑体" w:hAnsi="Times New Roman" w:cs="Times New Roman"/>
          <w:sz w:val="24"/>
        </w:rPr>
      </w:pPr>
      <w:r w:rsidRPr="00B85A66">
        <w:rPr>
          <w:rFonts w:ascii="Times New Roman" w:eastAsia="黑体" w:hAnsi="Times New Roman" w:cs="Times New Roman"/>
          <w:sz w:val="24"/>
        </w:rPr>
        <w:t>To visually observe the PMC index results, the scores of the nine primary indicators are transformed into a third-order matrix to construct a surface plot. This intuitively displays and analyzes the policy</w:t>
      </w:r>
      <w:proofErr w:type="gramStart"/>
      <w:r>
        <w:rPr>
          <w:rFonts w:ascii="Times New Roman" w:eastAsia="黑体" w:hAnsi="Times New Roman" w:cs="Times New Roman" w:hint="eastAsia"/>
          <w:sz w:val="24"/>
        </w:rPr>
        <w:t>’</w:t>
      </w:r>
      <w:proofErr w:type="gramEnd"/>
      <w:r w:rsidRPr="00B85A66">
        <w:rPr>
          <w:rFonts w:ascii="Times New Roman" w:eastAsia="黑体" w:hAnsi="Times New Roman" w:cs="Times New Roman"/>
          <w:sz w:val="24"/>
        </w:rPr>
        <w:t>s strengths and weaknesses as well as its internal structure.</w:t>
      </w:r>
    </w:p>
    <w:p w14:paraId="6BD3CFD3" w14:textId="664253E5" w:rsidR="00B85A66" w:rsidRPr="00B85A66" w:rsidRDefault="00B85A66" w:rsidP="00B85A66">
      <w:pPr>
        <w:widowControl/>
        <w:spacing w:after="0" w:line="360" w:lineRule="auto"/>
        <w:jc w:val="right"/>
        <w:rPr>
          <w:rFonts w:ascii="Times New Roman" w:hAnsi="Times New Roman" w:cs="Times New Roman"/>
          <w:sz w:val="24"/>
        </w:rPr>
      </w:pPr>
      <m:oMath>
        <m:m>
          <m:mPr>
            <m:plcHide m:val="1"/>
            <m:mcs>
              <m:mc>
                <m:mcPr>
                  <m:count m:val="4"/>
                  <m:mcJc m:val="center"/>
                </m:mcPr>
              </m:mc>
            </m:mcs>
            <m:ctrlPr>
              <w:rPr>
                <w:rFonts w:ascii="Cambria Math" w:eastAsia="黑体" w:hAnsi="Cambria Math" w:cs="Times New Roman"/>
                <w:sz w:val="24"/>
              </w:rPr>
            </m:ctrlPr>
          </m:mPr>
          <m:mr>
            <m:e/>
            <m:e>
              <m:r>
                <w:rPr>
                  <w:rFonts w:ascii="Cambria Math" w:eastAsia="黑体" w:hAnsi="Cambria Math" w:cs="Times New Roman"/>
                  <w:sz w:val="24"/>
                </w:rPr>
                <m:t>PMC</m:t>
              </m:r>
              <m:r>
                <m:rPr>
                  <m:nor/>
                </m:rPr>
                <w:rPr>
                  <w:rFonts w:ascii="Times New Roman" w:eastAsia="黑体" w:hAnsi="Times New Roman" w:cs="Times New Roman"/>
                  <w:sz w:val="24"/>
                </w:rPr>
                <m:t>-</m:t>
              </m:r>
              <m:r>
                <w:rPr>
                  <w:rFonts w:ascii="Cambria Math" w:eastAsia="黑体" w:hAnsi="Cambria Math" w:cs="Times New Roman"/>
                  <w:sz w:val="24"/>
                </w:rPr>
                <m:t>surface=</m:t>
              </m:r>
              <m:d>
                <m:dPr>
                  <m:begChr m:val="["/>
                  <m:endChr m:val="]"/>
                  <m:ctrlPr>
                    <w:rPr>
                      <w:rFonts w:ascii="Cambria Math" w:eastAsia="黑体" w:hAnsi="Cambria Math" w:cs="Times New Roman"/>
                      <w:sz w:val="24"/>
                    </w:rPr>
                  </m:ctrlPr>
                </m:dPr>
                <m:e>
                  <m:m>
                    <m:mPr>
                      <m:plcHide m:val="1"/>
                      <m:mcs>
                        <m:mc>
                          <m:mcPr>
                            <m:count m:val="3"/>
                            <m:mcJc m:val="center"/>
                          </m:mcPr>
                        </m:mc>
                      </m:mcs>
                      <m:ctrlPr>
                        <w:rPr>
                          <w:rFonts w:ascii="Cambria Math" w:eastAsia="黑体" w:hAnsi="Cambria Math" w:cs="Times New Roman"/>
                          <w:sz w:val="24"/>
                        </w:rPr>
                      </m:ctrlPr>
                    </m:mPr>
                    <m:mr>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1</m:t>
                            </m:r>
                          </m:sub>
                        </m:sSub>
                      </m:e>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2</m:t>
                            </m:r>
                          </m:sub>
                        </m:sSub>
                      </m:e>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3</m:t>
                            </m:r>
                          </m:sub>
                        </m:sSub>
                      </m:e>
                    </m:mr>
                    <m:mr>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4</m:t>
                            </m:r>
                          </m:sub>
                        </m:sSub>
                      </m:e>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5</m:t>
                            </m:r>
                          </m:sub>
                        </m:sSub>
                      </m:e>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6</m:t>
                            </m:r>
                          </m:sub>
                        </m:sSub>
                      </m:e>
                    </m:mr>
                    <m:mr>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7</m:t>
                            </m:r>
                          </m:sub>
                        </m:sSub>
                      </m:e>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8</m:t>
                            </m:r>
                          </m:sub>
                        </m:sSub>
                      </m:e>
                      <m:e>
                        <m:sSub>
                          <m:sSubPr>
                            <m:ctrlPr>
                              <w:rPr>
                                <w:rFonts w:ascii="Cambria Math" w:eastAsia="黑体" w:hAnsi="Cambria Math" w:cs="Times New Roman"/>
                                <w:sz w:val="24"/>
                              </w:rPr>
                            </m:ctrlPr>
                          </m:sSubPr>
                          <m:e>
                            <m:r>
                              <w:rPr>
                                <w:rFonts w:ascii="Cambria Math" w:eastAsia="黑体" w:hAnsi="Cambria Math" w:cs="Times New Roman"/>
                                <w:sz w:val="24"/>
                              </w:rPr>
                              <m:t>X</m:t>
                            </m:r>
                          </m:e>
                          <m:sub>
                            <m:r>
                              <w:rPr>
                                <w:rFonts w:ascii="Cambria Math" w:eastAsia="黑体" w:hAnsi="Cambria Math" w:cs="Times New Roman"/>
                                <w:sz w:val="24"/>
                              </w:rPr>
                              <m:t>9</m:t>
                            </m:r>
                          </m:sub>
                        </m:sSub>
                      </m:e>
                    </m:mr>
                  </m:m>
                </m:e>
              </m:d>
            </m:e>
            <m:e/>
            <m:e/>
          </m:mr>
        </m:m>
      </m:oMath>
      <w:r w:rsidRPr="00B85A66">
        <w:rPr>
          <w:rFonts w:ascii="Times New Roman" w:hAnsi="Times New Roman" w:cs="Times New Roman"/>
          <w:sz w:val="24"/>
        </w:rPr>
        <w:t xml:space="preserve">       (9)</w:t>
      </w:r>
    </w:p>
    <w:p w14:paraId="6884C329" w14:textId="19AF191B" w:rsidR="00B26D40" w:rsidRPr="003E5972" w:rsidRDefault="00B26D40" w:rsidP="00B26D40">
      <w:pPr>
        <w:spacing w:line="240" w:lineRule="auto"/>
        <w:rPr>
          <w:rFonts w:ascii="Times New Roman" w:hAnsi="Times New Roman" w:cs="Times New Roman"/>
        </w:rPr>
      </w:pPr>
      <w:r w:rsidRPr="003E5972">
        <w:rPr>
          <w:rFonts w:ascii="Times New Roman" w:hAnsi="Times New Roman" w:cs="Times New Roman"/>
        </w:rPr>
        <w:t>(VI) Grade Assessment</w:t>
      </w:r>
    </w:p>
    <w:p w14:paraId="2040D6CB" w14:textId="77777777" w:rsidR="00B26D40" w:rsidRPr="003E5972" w:rsidRDefault="00B26D40" w:rsidP="00B26D40">
      <w:pPr>
        <w:spacing w:line="240" w:lineRule="auto"/>
        <w:ind w:firstLineChars="200" w:firstLine="440"/>
        <w:rPr>
          <w:rFonts w:ascii="Times New Roman" w:hAnsi="Times New Roman" w:cs="Times New Roman"/>
        </w:rPr>
      </w:pPr>
      <w:r w:rsidRPr="003E5972">
        <w:rPr>
          <w:rFonts w:ascii="Times New Roman" w:hAnsi="Times New Roman" w:cs="Times New Roman"/>
        </w:rPr>
        <w:t>Based on the calculations using the formulas above, this study classifies the policy evaluation grades according to the PMC index, Policy Instrument index (I), Policy Attribute index (A), and Policy Theme index (T). Firstly, the PMC index model in this study contains 9 primary variables; therefore, the PMC index value should range between 0-9, the Policy Instrument index (I) between 0-3, the Policy Attribute index (A) between 0-3, and the Policy Theme index (T) between 0-3. Drawing on existing research, the grades for the PMC index, Policy Instrument index (I), Policy Attribute index (A), and Policy Theme index (T) are classified respectively.</w:t>
      </w:r>
    </w:p>
    <w:bookmarkEnd w:id="2"/>
    <w:p w14:paraId="53F6BB31" w14:textId="77777777" w:rsidR="00A71F44" w:rsidRDefault="00A71F44" w:rsidP="00A71F44">
      <w:pPr>
        <w:spacing w:after="0" w:line="240" w:lineRule="auto"/>
        <w:jc w:val="center"/>
        <w:rPr>
          <w:rFonts w:ascii="Times New Roman" w:eastAsia="等线" w:hAnsi="Times New Roman" w:cs="Times New Roman"/>
          <w:b/>
          <w:bCs/>
          <w:sz w:val="20"/>
          <w:szCs w:val="20"/>
        </w:rPr>
      </w:pPr>
      <w:r>
        <w:rPr>
          <w:rFonts w:ascii="Times New Roman" w:eastAsia="宋体" w:hAnsi="Times New Roman" w:cs="Times New Roman"/>
          <w:b/>
          <w:bCs/>
          <w:sz w:val="21"/>
          <w:szCs w:val="21"/>
        </w:rPr>
        <w:t xml:space="preserve">Table 2 </w:t>
      </w:r>
      <w:r>
        <w:rPr>
          <w:rFonts w:ascii="Times New Roman" w:eastAsia="等线" w:hAnsi="Times New Roman" w:cs="Times New Roman"/>
          <w:sz w:val="20"/>
          <w:szCs w:val="20"/>
        </w:rPr>
        <w:t>Policy evaluation grade classification criteria</w:t>
      </w:r>
    </w:p>
    <w:tbl>
      <w:tblPr>
        <w:tblStyle w:val="11"/>
        <w:tblW w:w="4999"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0"/>
        <w:gridCol w:w="1514"/>
        <w:gridCol w:w="1513"/>
        <w:gridCol w:w="1503"/>
        <w:gridCol w:w="1048"/>
        <w:gridCol w:w="1046"/>
      </w:tblGrid>
      <w:tr w:rsidR="00A71F44" w14:paraId="168082D4" w14:textId="77777777" w:rsidTr="00B2130E">
        <w:trPr>
          <w:trHeight w:val="281"/>
        </w:trPr>
        <w:tc>
          <w:tcPr>
            <w:tcW w:w="1011" w:type="pct"/>
            <w:tcBorders>
              <w:top w:val="single" w:sz="12" w:space="0" w:color="auto"/>
              <w:bottom w:val="single" w:sz="4" w:space="0" w:color="auto"/>
            </w:tcBorders>
          </w:tcPr>
          <w:p w14:paraId="3B781A59" w14:textId="77777777" w:rsidR="00A71F44" w:rsidRDefault="00A71F44" w:rsidP="00B2130E">
            <w:pPr>
              <w:jc w:val="center"/>
              <w:rPr>
                <w:kern w:val="2"/>
                <w:sz w:val="24"/>
                <w:szCs w:val="24"/>
              </w:rPr>
            </w:pPr>
            <w:r>
              <w:rPr>
                <w:kern w:val="2"/>
                <w:sz w:val="21"/>
                <w:szCs w:val="21"/>
              </w:rPr>
              <w:t>Evaluation index</w:t>
            </w:r>
          </w:p>
        </w:tc>
        <w:tc>
          <w:tcPr>
            <w:tcW w:w="3988" w:type="pct"/>
            <w:gridSpan w:val="5"/>
            <w:tcBorders>
              <w:top w:val="single" w:sz="12" w:space="0" w:color="auto"/>
              <w:bottom w:val="single" w:sz="4" w:space="0" w:color="auto"/>
            </w:tcBorders>
          </w:tcPr>
          <w:p w14:paraId="0997901E" w14:textId="77777777" w:rsidR="00A71F44" w:rsidRDefault="00A71F44" w:rsidP="00B2130E">
            <w:pPr>
              <w:jc w:val="center"/>
              <w:rPr>
                <w:kern w:val="2"/>
                <w:sz w:val="24"/>
                <w:szCs w:val="24"/>
              </w:rPr>
            </w:pPr>
            <w:r>
              <w:rPr>
                <w:kern w:val="2"/>
                <w:sz w:val="21"/>
                <w:szCs w:val="21"/>
              </w:rPr>
              <w:t>Evaluation scores and grades</w:t>
            </w:r>
          </w:p>
        </w:tc>
      </w:tr>
      <w:tr w:rsidR="00A71F44" w14:paraId="2D148CD2" w14:textId="77777777" w:rsidTr="00B2130E">
        <w:trPr>
          <w:trHeight w:val="281"/>
        </w:trPr>
        <w:tc>
          <w:tcPr>
            <w:tcW w:w="1011" w:type="pct"/>
            <w:vMerge w:val="restart"/>
            <w:tcBorders>
              <w:top w:val="single" w:sz="4" w:space="0" w:color="auto"/>
            </w:tcBorders>
            <w:vAlign w:val="center"/>
          </w:tcPr>
          <w:p w14:paraId="5B27ADC5" w14:textId="77777777" w:rsidR="00A71F44" w:rsidRDefault="00A71F44" w:rsidP="00B2130E">
            <w:pPr>
              <w:jc w:val="center"/>
              <w:rPr>
                <w:kern w:val="2"/>
                <w:sz w:val="24"/>
                <w:szCs w:val="24"/>
              </w:rPr>
            </w:pPr>
            <w:r>
              <w:rPr>
                <w:rFonts w:eastAsia="等线"/>
                <w:kern w:val="2"/>
                <w:sz w:val="21"/>
                <w:szCs w:val="21"/>
              </w:rPr>
              <w:t>PMC Index</w:t>
            </w:r>
          </w:p>
        </w:tc>
        <w:tc>
          <w:tcPr>
            <w:tcW w:w="911" w:type="pct"/>
            <w:tcBorders>
              <w:top w:val="single" w:sz="4" w:space="0" w:color="auto"/>
            </w:tcBorders>
          </w:tcPr>
          <w:p w14:paraId="1C424598" w14:textId="77777777" w:rsidR="00A71F44" w:rsidRDefault="00A71F44" w:rsidP="00B2130E">
            <w:pPr>
              <w:jc w:val="center"/>
              <w:rPr>
                <w:kern w:val="2"/>
                <w:sz w:val="21"/>
                <w:szCs w:val="21"/>
              </w:rPr>
            </w:pPr>
            <w:r>
              <w:rPr>
                <w:rFonts w:eastAsia="等线"/>
                <w:kern w:val="2"/>
                <w:sz w:val="18"/>
                <w:szCs w:val="18"/>
              </w:rPr>
              <w:t>Score Range</w:t>
            </w:r>
          </w:p>
        </w:tc>
        <w:tc>
          <w:tcPr>
            <w:tcW w:w="911" w:type="pct"/>
            <w:tcBorders>
              <w:top w:val="single" w:sz="4" w:space="0" w:color="auto"/>
            </w:tcBorders>
          </w:tcPr>
          <w:p w14:paraId="3574A8B1" w14:textId="77777777" w:rsidR="00A71F44" w:rsidRDefault="00A71F44" w:rsidP="00B2130E">
            <w:pPr>
              <w:jc w:val="center"/>
              <w:rPr>
                <w:kern w:val="2"/>
                <w:sz w:val="21"/>
                <w:szCs w:val="21"/>
              </w:rPr>
            </w:pPr>
            <w:r>
              <w:rPr>
                <w:kern w:val="2"/>
                <w:sz w:val="21"/>
                <w:szCs w:val="21"/>
              </w:rPr>
              <w:t>0.00-3.99</w:t>
            </w:r>
          </w:p>
        </w:tc>
        <w:tc>
          <w:tcPr>
            <w:tcW w:w="905" w:type="pct"/>
            <w:tcBorders>
              <w:top w:val="single" w:sz="4" w:space="0" w:color="auto"/>
            </w:tcBorders>
          </w:tcPr>
          <w:p w14:paraId="57786B49" w14:textId="77777777" w:rsidR="00A71F44" w:rsidRDefault="00A71F44" w:rsidP="00B2130E">
            <w:pPr>
              <w:jc w:val="center"/>
              <w:rPr>
                <w:kern w:val="2"/>
                <w:sz w:val="21"/>
                <w:szCs w:val="21"/>
              </w:rPr>
            </w:pPr>
            <w:r>
              <w:rPr>
                <w:kern w:val="2"/>
                <w:sz w:val="21"/>
                <w:szCs w:val="21"/>
              </w:rPr>
              <w:t>4.00-5.99</w:t>
            </w:r>
          </w:p>
        </w:tc>
        <w:tc>
          <w:tcPr>
            <w:tcW w:w="631" w:type="pct"/>
            <w:tcBorders>
              <w:top w:val="single" w:sz="4" w:space="0" w:color="auto"/>
            </w:tcBorders>
          </w:tcPr>
          <w:p w14:paraId="41B8B952" w14:textId="77777777" w:rsidR="00A71F44" w:rsidRDefault="00A71F44" w:rsidP="00B2130E">
            <w:pPr>
              <w:jc w:val="center"/>
              <w:rPr>
                <w:kern w:val="2"/>
                <w:sz w:val="21"/>
                <w:szCs w:val="21"/>
              </w:rPr>
            </w:pPr>
            <w:r>
              <w:rPr>
                <w:kern w:val="2"/>
                <w:sz w:val="21"/>
                <w:szCs w:val="21"/>
              </w:rPr>
              <w:t>6.00-7.99</w:t>
            </w:r>
          </w:p>
        </w:tc>
        <w:tc>
          <w:tcPr>
            <w:tcW w:w="629" w:type="pct"/>
            <w:tcBorders>
              <w:top w:val="single" w:sz="4" w:space="0" w:color="auto"/>
            </w:tcBorders>
          </w:tcPr>
          <w:p w14:paraId="66AA448C" w14:textId="77777777" w:rsidR="00A71F44" w:rsidRDefault="00A71F44" w:rsidP="00B2130E">
            <w:pPr>
              <w:jc w:val="center"/>
              <w:rPr>
                <w:kern w:val="2"/>
                <w:sz w:val="21"/>
                <w:szCs w:val="21"/>
              </w:rPr>
            </w:pPr>
            <w:r>
              <w:rPr>
                <w:kern w:val="2"/>
                <w:sz w:val="21"/>
                <w:szCs w:val="21"/>
              </w:rPr>
              <w:t>8.00-9.00</w:t>
            </w:r>
          </w:p>
        </w:tc>
      </w:tr>
      <w:tr w:rsidR="00A71F44" w14:paraId="07ACC7DD" w14:textId="77777777" w:rsidTr="00B2130E">
        <w:trPr>
          <w:trHeight w:val="141"/>
        </w:trPr>
        <w:tc>
          <w:tcPr>
            <w:tcW w:w="1011" w:type="pct"/>
            <w:vMerge/>
          </w:tcPr>
          <w:p w14:paraId="086B2597" w14:textId="77777777" w:rsidR="00A71F44" w:rsidRDefault="00A71F44" w:rsidP="00B2130E">
            <w:pPr>
              <w:jc w:val="center"/>
              <w:rPr>
                <w:kern w:val="2"/>
                <w:sz w:val="24"/>
                <w:szCs w:val="24"/>
              </w:rPr>
            </w:pPr>
          </w:p>
        </w:tc>
        <w:tc>
          <w:tcPr>
            <w:tcW w:w="911" w:type="pct"/>
          </w:tcPr>
          <w:p w14:paraId="118DC868" w14:textId="77777777" w:rsidR="00A71F44" w:rsidRDefault="00A71F44" w:rsidP="00B2130E">
            <w:pPr>
              <w:jc w:val="center"/>
              <w:rPr>
                <w:kern w:val="2"/>
                <w:sz w:val="21"/>
                <w:szCs w:val="21"/>
              </w:rPr>
            </w:pPr>
            <w:r>
              <w:rPr>
                <w:rFonts w:eastAsia="等线"/>
                <w:kern w:val="2"/>
                <w:sz w:val="18"/>
                <w:szCs w:val="18"/>
              </w:rPr>
              <w:t>Evaluation Grade</w:t>
            </w:r>
          </w:p>
        </w:tc>
        <w:tc>
          <w:tcPr>
            <w:tcW w:w="911" w:type="pct"/>
          </w:tcPr>
          <w:p w14:paraId="074DFA41" w14:textId="77777777" w:rsidR="00A71F44" w:rsidRDefault="00A71F44" w:rsidP="00B2130E">
            <w:pPr>
              <w:jc w:val="center"/>
              <w:rPr>
                <w:kern w:val="2"/>
                <w:sz w:val="21"/>
                <w:szCs w:val="21"/>
              </w:rPr>
            </w:pPr>
            <w:r>
              <w:rPr>
                <w:rFonts w:eastAsia="等线"/>
                <w:kern w:val="2"/>
                <w:sz w:val="18"/>
                <w:szCs w:val="18"/>
              </w:rPr>
              <w:t>Evaluation Grade</w:t>
            </w:r>
          </w:p>
        </w:tc>
        <w:tc>
          <w:tcPr>
            <w:tcW w:w="905" w:type="pct"/>
          </w:tcPr>
          <w:p w14:paraId="55863321" w14:textId="77777777" w:rsidR="00A71F44" w:rsidRDefault="00A71F44" w:rsidP="00B2130E">
            <w:pPr>
              <w:jc w:val="center"/>
              <w:rPr>
                <w:kern w:val="2"/>
                <w:sz w:val="21"/>
                <w:szCs w:val="21"/>
              </w:rPr>
            </w:pPr>
            <w:r>
              <w:rPr>
                <w:rFonts w:eastAsia="等线"/>
                <w:kern w:val="2"/>
                <w:sz w:val="18"/>
                <w:szCs w:val="18"/>
              </w:rPr>
              <w:t>Low Consistency</w:t>
            </w:r>
          </w:p>
        </w:tc>
        <w:tc>
          <w:tcPr>
            <w:tcW w:w="631" w:type="pct"/>
          </w:tcPr>
          <w:p w14:paraId="18645694" w14:textId="77777777" w:rsidR="00A71F44" w:rsidRDefault="00A71F44" w:rsidP="00B2130E">
            <w:pPr>
              <w:jc w:val="center"/>
              <w:rPr>
                <w:kern w:val="2"/>
                <w:sz w:val="21"/>
                <w:szCs w:val="21"/>
              </w:rPr>
            </w:pPr>
            <w:r>
              <w:rPr>
                <w:rFonts w:eastAsia="等线"/>
                <w:kern w:val="2"/>
                <w:sz w:val="18"/>
                <w:szCs w:val="18"/>
              </w:rPr>
              <w:t>Acceptable</w:t>
            </w:r>
          </w:p>
        </w:tc>
        <w:tc>
          <w:tcPr>
            <w:tcW w:w="629" w:type="pct"/>
          </w:tcPr>
          <w:p w14:paraId="5C5A1A38" w14:textId="77777777" w:rsidR="00A71F44" w:rsidRDefault="00A71F44" w:rsidP="00B2130E">
            <w:pPr>
              <w:jc w:val="center"/>
              <w:rPr>
                <w:kern w:val="2"/>
                <w:sz w:val="21"/>
                <w:szCs w:val="21"/>
              </w:rPr>
            </w:pPr>
            <w:r>
              <w:rPr>
                <w:rFonts w:eastAsia="等线"/>
                <w:kern w:val="2"/>
                <w:sz w:val="18"/>
                <w:szCs w:val="18"/>
              </w:rPr>
              <w:t>Perfect</w:t>
            </w:r>
          </w:p>
        </w:tc>
      </w:tr>
      <w:tr w:rsidR="00A71F44" w14:paraId="0B5295F7" w14:textId="77777777" w:rsidTr="00B2130E">
        <w:trPr>
          <w:trHeight w:val="281"/>
        </w:trPr>
        <w:tc>
          <w:tcPr>
            <w:tcW w:w="1011" w:type="pct"/>
            <w:vMerge w:val="restart"/>
            <w:vAlign w:val="center"/>
          </w:tcPr>
          <w:p w14:paraId="0A7C23E2" w14:textId="77777777" w:rsidR="00A71F44" w:rsidRDefault="00A71F44" w:rsidP="00B2130E">
            <w:pPr>
              <w:jc w:val="center"/>
              <w:rPr>
                <w:kern w:val="2"/>
                <w:sz w:val="24"/>
                <w:szCs w:val="24"/>
              </w:rPr>
            </w:pPr>
            <w:r>
              <w:rPr>
                <w:kern w:val="2"/>
                <w:sz w:val="24"/>
                <w:szCs w:val="24"/>
              </w:rPr>
              <w:t>I</w:t>
            </w:r>
          </w:p>
        </w:tc>
        <w:tc>
          <w:tcPr>
            <w:tcW w:w="911" w:type="pct"/>
          </w:tcPr>
          <w:p w14:paraId="57794A3A" w14:textId="77777777" w:rsidR="00A71F44" w:rsidRDefault="00A71F44" w:rsidP="00B2130E">
            <w:pPr>
              <w:jc w:val="center"/>
              <w:rPr>
                <w:kern w:val="2"/>
                <w:sz w:val="21"/>
                <w:szCs w:val="21"/>
              </w:rPr>
            </w:pPr>
            <w:r>
              <w:rPr>
                <w:rFonts w:eastAsia="等线"/>
                <w:kern w:val="2"/>
                <w:sz w:val="18"/>
                <w:szCs w:val="18"/>
              </w:rPr>
              <w:t>Score Range</w:t>
            </w:r>
          </w:p>
        </w:tc>
        <w:tc>
          <w:tcPr>
            <w:tcW w:w="911" w:type="pct"/>
          </w:tcPr>
          <w:p w14:paraId="63216497" w14:textId="77777777" w:rsidR="00A71F44" w:rsidRDefault="00A71F44" w:rsidP="00B2130E">
            <w:pPr>
              <w:jc w:val="center"/>
              <w:rPr>
                <w:kern w:val="2"/>
                <w:sz w:val="21"/>
                <w:szCs w:val="21"/>
              </w:rPr>
            </w:pPr>
            <w:r>
              <w:rPr>
                <w:kern w:val="2"/>
                <w:sz w:val="21"/>
                <w:szCs w:val="21"/>
              </w:rPr>
              <w:t>0.00-0.75</w:t>
            </w:r>
          </w:p>
        </w:tc>
        <w:tc>
          <w:tcPr>
            <w:tcW w:w="905" w:type="pct"/>
          </w:tcPr>
          <w:p w14:paraId="131CE6AD" w14:textId="77777777" w:rsidR="00A71F44" w:rsidRDefault="00A71F44" w:rsidP="00B2130E">
            <w:pPr>
              <w:jc w:val="center"/>
              <w:rPr>
                <w:kern w:val="2"/>
                <w:sz w:val="21"/>
                <w:szCs w:val="21"/>
              </w:rPr>
            </w:pPr>
            <w:r>
              <w:rPr>
                <w:kern w:val="2"/>
                <w:sz w:val="21"/>
                <w:szCs w:val="21"/>
              </w:rPr>
              <w:t>0.76-1.50</w:t>
            </w:r>
          </w:p>
        </w:tc>
        <w:tc>
          <w:tcPr>
            <w:tcW w:w="631" w:type="pct"/>
          </w:tcPr>
          <w:p w14:paraId="56CA2AF3" w14:textId="77777777" w:rsidR="00A71F44" w:rsidRDefault="00A71F44" w:rsidP="00B2130E">
            <w:pPr>
              <w:jc w:val="center"/>
              <w:rPr>
                <w:kern w:val="2"/>
                <w:sz w:val="21"/>
                <w:szCs w:val="21"/>
              </w:rPr>
            </w:pPr>
            <w:r>
              <w:rPr>
                <w:kern w:val="2"/>
                <w:sz w:val="21"/>
                <w:szCs w:val="21"/>
              </w:rPr>
              <w:t>1.51-2.25</w:t>
            </w:r>
          </w:p>
        </w:tc>
        <w:tc>
          <w:tcPr>
            <w:tcW w:w="629" w:type="pct"/>
          </w:tcPr>
          <w:p w14:paraId="24DE9DA5" w14:textId="77777777" w:rsidR="00A71F44" w:rsidRDefault="00A71F44" w:rsidP="00B2130E">
            <w:pPr>
              <w:jc w:val="center"/>
              <w:rPr>
                <w:kern w:val="2"/>
                <w:sz w:val="21"/>
                <w:szCs w:val="21"/>
              </w:rPr>
            </w:pPr>
            <w:r>
              <w:rPr>
                <w:kern w:val="2"/>
                <w:sz w:val="21"/>
                <w:szCs w:val="21"/>
              </w:rPr>
              <w:t>2.26-3.00</w:t>
            </w:r>
          </w:p>
        </w:tc>
      </w:tr>
      <w:tr w:rsidR="00A71F44" w14:paraId="10CAD87F" w14:textId="77777777" w:rsidTr="00B2130E">
        <w:trPr>
          <w:trHeight w:val="141"/>
        </w:trPr>
        <w:tc>
          <w:tcPr>
            <w:tcW w:w="1011" w:type="pct"/>
            <w:vMerge/>
            <w:vAlign w:val="center"/>
          </w:tcPr>
          <w:p w14:paraId="7A4FE218" w14:textId="77777777" w:rsidR="00A71F44" w:rsidRDefault="00A71F44" w:rsidP="00B2130E">
            <w:pPr>
              <w:jc w:val="center"/>
              <w:rPr>
                <w:kern w:val="2"/>
                <w:sz w:val="24"/>
                <w:szCs w:val="24"/>
              </w:rPr>
            </w:pPr>
          </w:p>
        </w:tc>
        <w:tc>
          <w:tcPr>
            <w:tcW w:w="911" w:type="pct"/>
          </w:tcPr>
          <w:p w14:paraId="65A1A9DA" w14:textId="77777777" w:rsidR="00A71F44" w:rsidRDefault="00A71F44" w:rsidP="00B2130E">
            <w:pPr>
              <w:jc w:val="center"/>
              <w:rPr>
                <w:kern w:val="2"/>
                <w:sz w:val="21"/>
                <w:szCs w:val="21"/>
              </w:rPr>
            </w:pPr>
            <w:r>
              <w:rPr>
                <w:rFonts w:eastAsia="等线"/>
                <w:kern w:val="2"/>
                <w:sz w:val="18"/>
                <w:szCs w:val="18"/>
              </w:rPr>
              <w:t>Evaluation Grade</w:t>
            </w:r>
          </w:p>
        </w:tc>
        <w:tc>
          <w:tcPr>
            <w:tcW w:w="911" w:type="pct"/>
          </w:tcPr>
          <w:p w14:paraId="05FE0935" w14:textId="77777777" w:rsidR="00A71F44" w:rsidRDefault="00A71F44" w:rsidP="00B2130E">
            <w:pPr>
              <w:jc w:val="center"/>
              <w:rPr>
                <w:kern w:val="2"/>
                <w:sz w:val="21"/>
                <w:szCs w:val="21"/>
              </w:rPr>
            </w:pPr>
            <w:r>
              <w:rPr>
                <w:rFonts w:eastAsia="等线"/>
                <w:kern w:val="2"/>
                <w:sz w:val="18"/>
                <w:szCs w:val="18"/>
              </w:rPr>
              <w:t>Evaluation Grade</w:t>
            </w:r>
          </w:p>
        </w:tc>
        <w:tc>
          <w:tcPr>
            <w:tcW w:w="905" w:type="pct"/>
          </w:tcPr>
          <w:p w14:paraId="7DB3F723" w14:textId="77777777" w:rsidR="00A71F44" w:rsidRDefault="00A71F44" w:rsidP="00B2130E">
            <w:pPr>
              <w:jc w:val="center"/>
              <w:rPr>
                <w:kern w:val="2"/>
                <w:sz w:val="21"/>
                <w:szCs w:val="21"/>
              </w:rPr>
            </w:pPr>
            <w:r>
              <w:rPr>
                <w:rFonts w:eastAsia="等线"/>
                <w:kern w:val="2"/>
                <w:sz w:val="18"/>
                <w:szCs w:val="18"/>
              </w:rPr>
              <w:t>Low Consistency</w:t>
            </w:r>
          </w:p>
        </w:tc>
        <w:tc>
          <w:tcPr>
            <w:tcW w:w="631" w:type="pct"/>
          </w:tcPr>
          <w:p w14:paraId="7C1D0574" w14:textId="77777777" w:rsidR="00A71F44" w:rsidRDefault="00A71F44" w:rsidP="00B2130E">
            <w:pPr>
              <w:jc w:val="center"/>
              <w:rPr>
                <w:kern w:val="2"/>
                <w:sz w:val="21"/>
                <w:szCs w:val="21"/>
              </w:rPr>
            </w:pPr>
            <w:r>
              <w:rPr>
                <w:rFonts w:eastAsia="等线"/>
                <w:kern w:val="2"/>
                <w:sz w:val="18"/>
                <w:szCs w:val="18"/>
              </w:rPr>
              <w:t>Acceptable</w:t>
            </w:r>
          </w:p>
        </w:tc>
        <w:tc>
          <w:tcPr>
            <w:tcW w:w="629" w:type="pct"/>
          </w:tcPr>
          <w:p w14:paraId="00672A35" w14:textId="77777777" w:rsidR="00A71F44" w:rsidRDefault="00A71F44" w:rsidP="00B2130E">
            <w:pPr>
              <w:jc w:val="center"/>
              <w:rPr>
                <w:kern w:val="2"/>
                <w:sz w:val="21"/>
                <w:szCs w:val="21"/>
              </w:rPr>
            </w:pPr>
            <w:r>
              <w:rPr>
                <w:rFonts w:eastAsia="等线"/>
                <w:kern w:val="2"/>
                <w:sz w:val="18"/>
                <w:szCs w:val="18"/>
              </w:rPr>
              <w:t>Perfect</w:t>
            </w:r>
          </w:p>
        </w:tc>
      </w:tr>
      <w:tr w:rsidR="00A71F44" w14:paraId="2EE74B82" w14:textId="77777777" w:rsidTr="00B2130E">
        <w:trPr>
          <w:trHeight w:val="281"/>
        </w:trPr>
        <w:tc>
          <w:tcPr>
            <w:tcW w:w="1011" w:type="pct"/>
            <w:vMerge w:val="restart"/>
            <w:vAlign w:val="center"/>
          </w:tcPr>
          <w:p w14:paraId="50E03E2E" w14:textId="77777777" w:rsidR="00A71F44" w:rsidRDefault="00A71F44" w:rsidP="00B2130E">
            <w:pPr>
              <w:jc w:val="center"/>
              <w:rPr>
                <w:kern w:val="2"/>
                <w:sz w:val="24"/>
                <w:szCs w:val="24"/>
              </w:rPr>
            </w:pPr>
            <w:r>
              <w:rPr>
                <w:kern w:val="2"/>
                <w:sz w:val="24"/>
                <w:szCs w:val="24"/>
              </w:rPr>
              <w:t>A</w:t>
            </w:r>
          </w:p>
        </w:tc>
        <w:tc>
          <w:tcPr>
            <w:tcW w:w="911" w:type="pct"/>
          </w:tcPr>
          <w:p w14:paraId="45BE3BD7" w14:textId="77777777" w:rsidR="00A71F44" w:rsidRDefault="00A71F44" w:rsidP="00B2130E">
            <w:pPr>
              <w:jc w:val="center"/>
              <w:rPr>
                <w:kern w:val="2"/>
                <w:sz w:val="21"/>
                <w:szCs w:val="21"/>
              </w:rPr>
            </w:pPr>
            <w:r>
              <w:rPr>
                <w:rFonts w:eastAsia="等线"/>
                <w:kern w:val="2"/>
                <w:sz w:val="18"/>
                <w:szCs w:val="18"/>
              </w:rPr>
              <w:t>Score Range</w:t>
            </w:r>
          </w:p>
        </w:tc>
        <w:tc>
          <w:tcPr>
            <w:tcW w:w="911" w:type="pct"/>
          </w:tcPr>
          <w:p w14:paraId="2E0A7DF3" w14:textId="77777777" w:rsidR="00A71F44" w:rsidRDefault="00A71F44" w:rsidP="00B2130E">
            <w:pPr>
              <w:jc w:val="center"/>
              <w:rPr>
                <w:kern w:val="2"/>
                <w:sz w:val="21"/>
                <w:szCs w:val="21"/>
              </w:rPr>
            </w:pPr>
            <w:r>
              <w:rPr>
                <w:kern w:val="2"/>
                <w:sz w:val="21"/>
                <w:szCs w:val="21"/>
              </w:rPr>
              <w:t>0.00-0.75</w:t>
            </w:r>
          </w:p>
        </w:tc>
        <w:tc>
          <w:tcPr>
            <w:tcW w:w="905" w:type="pct"/>
          </w:tcPr>
          <w:p w14:paraId="638E9AC2" w14:textId="77777777" w:rsidR="00A71F44" w:rsidRDefault="00A71F44" w:rsidP="00B2130E">
            <w:pPr>
              <w:jc w:val="center"/>
              <w:rPr>
                <w:kern w:val="2"/>
                <w:sz w:val="21"/>
                <w:szCs w:val="21"/>
              </w:rPr>
            </w:pPr>
            <w:r>
              <w:rPr>
                <w:kern w:val="2"/>
                <w:sz w:val="21"/>
                <w:szCs w:val="21"/>
              </w:rPr>
              <w:t>0.76-1.50</w:t>
            </w:r>
          </w:p>
        </w:tc>
        <w:tc>
          <w:tcPr>
            <w:tcW w:w="631" w:type="pct"/>
          </w:tcPr>
          <w:p w14:paraId="70D3E941" w14:textId="77777777" w:rsidR="00A71F44" w:rsidRDefault="00A71F44" w:rsidP="00B2130E">
            <w:pPr>
              <w:jc w:val="center"/>
              <w:rPr>
                <w:kern w:val="2"/>
                <w:sz w:val="21"/>
                <w:szCs w:val="21"/>
              </w:rPr>
            </w:pPr>
            <w:r>
              <w:rPr>
                <w:kern w:val="2"/>
                <w:sz w:val="21"/>
                <w:szCs w:val="21"/>
              </w:rPr>
              <w:t>1.51-2.25</w:t>
            </w:r>
          </w:p>
        </w:tc>
        <w:tc>
          <w:tcPr>
            <w:tcW w:w="629" w:type="pct"/>
          </w:tcPr>
          <w:p w14:paraId="0CA84838" w14:textId="77777777" w:rsidR="00A71F44" w:rsidRDefault="00A71F44" w:rsidP="00B2130E">
            <w:pPr>
              <w:jc w:val="center"/>
              <w:rPr>
                <w:kern w:val="2"/>
                <w:sz w:val="21"/>
                <w:szCs w:val="21"/>
              </w:rPr>
            </w:pPr>
            <w:r>
              <w:rPr>
                <w:kern w:val="2"/>
                <w:sz w:val="21"/>
                <w:szCs w:val="21"/>
              </w:rPr>
              <w:t>2.26-3.00</w:t>
            </w:r>
          </w:p>
        </w:tc>
      </w:tr>
      <w:tr w:rsidR="00A71F44" w14:paraId="5EC86F01" w14:textId="77777777" w:rsidTr="00B2130E">
        <w:trPr>
          <w:trHeight w:val="141"/>
        </w:trPr>
        <w:tc>
          <w:tcPr>
            <w:tcW w:w="1011" w:type="pct"/>
            <w:vMerge/>
            <w:vAlign w:val="center"/>
          </w:tcPr>
          <w:p w14:paraId="7A4898C8" w14:textId="77777777" w:rsidR="00A71F44" w:rsidRDefault="00A71F44" w:rsidP="00B2130E">
            <w:pPr>
              <w:jc w:val="center"/>
              <w:rPr>
                <w:kern w:val="2"/>
                <w:sz w:val="24"/>
                <w:szCs w:val="24"/>
              </w:rPr>
            </w:pPr>
          </w:p>
        </w:tc>
        <w:tc>
          <w:tcPr>
            <w:tcW w:w="911" w:type="pct"/>
          </w:tcPr>
          <w:p w14:paraId="4E1A39B3" w14:textId="77777777" w:rsidR="00A71F44" w:rsidRDefault="00A71F44" w:rsidP="00B2130E">
            <w:pPr>
              <w:jc w:val="center"/>
              <w:rPr>
                <w:kern w:val="2"/>
                <w:sz w:val="21"/>
                <w:szCs w:val="21"/>
              </w:rPr>
            </w:pPr>
            <w:r>
              <w:rPr>
                <w:rFonts w:eastAsia="等线"/>
                <w:kern w:val="2"/>
                <w:sz w:val="18"/>
                <w:szCs w:val="18"/>
              </w:rPr>
              <w:t>Evaluation Grade</w:t>
            </w:r>
          </w:p>
        </w:tc>
        <w:tc>
          <w:tcPr>
            <w:tcW w:w="911" w:type="pct"/>
          </w:tcPr>
          <w:p w14:paraId="5F246A68" w14:textId="77777777" w:rsidR="00A71F44" w:rsidRDefault="00A71F44" w:rsidP="00B2130E">
            <w:pPr>
              <w:jc w:val="center"/>
              <w:rPr>
                <w:kern w:val="2"/>
                <w:sz w:val="21"/>
                <w:szCs w:val="21"/>
              </w:rPr>
            </w:pPr>
            <w:r>
              <w:rPr>
                <w:rFonts w:eastAsia="等线"/>
                <w:kern w:val="2"/>
                <w:sz w:val="18"/>
                <w:szCs w:val="18"/>
              </w:rPr>
              <w:t>Evaluation Grade</w:t>
            </w:r>
          </w:p>
        </w:tc>
        <w:tc>
          <w:tcPr>
            <w:tcW w:w="905" w:type="pct"/>
          </w:tcPr>
          <w:p w14:paraId="13130495" w14:textId="77777777" w:rsidR="00A71F44" w:rsidRDefault="00A71F44" w:rsidP="00B2130E">
            <w:pPr>
              <w:jc w:val="center"/>
              <w:rPr>
                <w:kern w:val="2"/>
                <w:sz w:val="21"/>
                <w:szCs w:val="21"/>
              </w:rPr>
            </w:pPr>
            <w:r>
              <w:rPr>
                <w:rFonts w:eastAsia="等线"/>
                <w:kern w:val="2"/>
                <w:sz w:val="18"/>
                <w:szCs w:val="18"/>
              </w:rPr>
              <w:t>Low Consistency</w:t>
            </w:r>
          </w:p>
        </w:tc>
        <w:tc>
          <w:tcPr>
            <w:tcW w:w="631" w:type="pct"/>
          </w:tcPr>
          <w:p w14:paraId="5BA371B6" w14:textId="77777777" w:rsidR="00A71F44" w:rsidRDefault="00A71F44" w:rsidP="00B2130E">
            <w:pPr>
              <w:jc w:val="center"/>
              <w:rPr>
                <w:kern w:val="2"/>
                <w:sz w:val="21"/>
                <w:szCs w:val="21"/>
              </w:rPr>
            </w:pPr>
            <w:r>
              <w:rPr>
                <w:rFonts w:eastAsia="等线"/>
                <w:kern w:val="2"/>
                <w:sz w:val="18"/>
                <w:szCs w:val="18"/>
              </w:rPr>
              <w:t>Acceptable</w:t>
            </w:r>
          </w:p>
        </w:tc>
        <w:tc>
          <w:tcPr>
            <w:tcW w:w="629" w:type="pct"/>
          </w:tcPr>
          <w:p w14:paraId="284E4C0E" w14:textId="77777777" w:rsidR="00A71F44" w:rsidRDefault="00A71F44" w:rsidP="00B2130E">
            <w:pPr>
              <w:jc w:val="center"/>
              <w:rPr>
                <w:kern w:val="2"/>
                <w:sz w:val="21"/>
                <w:szCs w:val="21"/>
              </w:rPr>
            </w:pPr>
            <w:r>
              <w:rPr>
                <w:rFonts w:eastAsia="等线"/>
                <w:kern w:val="2"/>
                <w:sz w:val="18"/>
                <w:szCs w:val="18"/>
              </w:rPr>
              <w:t>Perfect</w:t>
            </w:r>
          </w:p>
        </w:tc>
      </w:tr>
      <w:tr w:rsidR="00A71F44" w14:paraId="07E9489C" w14:textId="77777777" w:rsidTr="00B2130E">
        <w:trPr>
          <w:trHeight w:val="281"/>
        </w:trPr>
        <w:tc>
          <w:tcPr>
            <w:tcW w:w="1011" w:type="pct"/>
            <w:vMerge w:val="restart"/>
            <w:vAlign w:val="center"/>
          </w:tcPr>
          <w:p w14:paraId="4A5762DD" w14:textId="77777777" w:rsidR="00A71F44" w:rsidRDefault="00A71F44" w:rsidP="00B2130E">
            <w:pPr>
              <w:jc w:val="center"/>
              <w:rPr>
                <w:kern w:val="2"/>
                <w:sz w:val="24"/>
                <w:szCs w:val="24"/>
              </w:rPr>
            </w:pPr>
            <w:r>
              <w:rPr>
                <w:kern w:val="2"/>
                <w:sz w:val="24"/>
                <w:szCs w:val="24"/>
              </w:rPr>
              <w:t>T</w:t>
            </w:r>
          </w:p>
        </w:tc>
        <w:tc>
          <w:tcPr>
            <w:tcW w:w="911" w:type="pct"/>
          </w:tcPr>
          <w:p w14:paraId="15788889" w14:textId="77777777" w:rsidR="00A71F44" w:rsidRDefault="00A71F44" w:rsidP="00B2130E">
            <w:pPr>
              <w:jc w:val="center"/>
              <w:rPr>
                <w:kern w:val="2"/>
                <w:sz w:val="21"/>
                <w:szCs w:val="21"/>
              </w:rPr>
            </w:pPr>
            <w:r>
              <w:rPr>
                <w:rFonts w:eastAsia="等线"/>
                <w:kern w:val="2"/>
                <w:sz w:val="18"/>
                <w:szCs w:val="18"/>
              </w:rPr>
              <w:t>Score Range</w:t>
            </w:r>
          </w:p>
        </w:tc>
        <w:tc>
          <w:tcPr>
            <w:tcW w:w="911" w:type="pct"/>
          </w:tcPr>
          <w:p w14:paraId="4C1AB7DA" w14:textId="77777777" w:rsidR="00A71F44" w:rsidRDefault="00A71F44" w:rsidP="00B2130E">
            <w:pPr>
              <w:jc w:val="center"/>
              <w:rPr>
                <w:kern w:val="2"/>
                <w:sz w:val="21"/>
                <w:szCs w:val="21"/>
              </w:rPr>
            </w:pPr>
            <w:r>
              <w:rPr>
                <w:kern w:val="2"/>
                <w:sz w:val="21"/>
                <w:szCs w:val="21"/>
              </w:rPr>
              <w:t>0.00-0.75</w:t>
            </w:r>
          </w:p>
        </w:tc>
        <w:tc>
          <w:tcPr>
            <w:tcW w:w="905" w:type="pct"/>
          </w:tcPr>
          <w:p w14:paraId="380BF5FF" w14:textId="77777777" w:rsidR="00A71F44" w:rsidRDefault="00A71F44" w:rsidP="00B2130E">
            <w:pPr>
              <w:jc w:val="center"/>
              <w:rPr>
                <w:kern w:val="2"/>
                <w:sz w:val="21"/>
                <w:szCs w:val="21"/>
              </w:rPr>
            </w:pPr>
            <w:r>
              <w:rPr>
                <w:kern w:val="2"/>
                <w:sz w:val="21"/>
                <w:szCs w:val="21"/>
              </w:rPr>
              <w:t>0.76-1.50</w:t>
            </w:r>
          </w:p>
        </w:tc>
        <w:tc>
          <w:tcPr>
            <w:tcW w:w="631" w:type="pct"/>
          </w:tcPr>
          <w:p w14:paraId="3DE8FC46" w14:textId="77777777" w:rsidR="00A71F44" w:rsidRDefault="00A71F44" w:rsidP="00B2130E">
            <w:pPr>
              <w:jc w:val="center"/>
              <w:rPr>
                <w:kern w:val="2"/>
                <w:sz w:val="21"/>
                <w:szCs w:val="21"/>
              </w:rPr>
            </w:pPr>
            <w:r>
              <w:rPr>
                <w:kern w:val="2"/>
                <w:sz w:val="21"/>
                <w:szCs w:val="21"/>
              </w:rPr>
              <w:t>1.51-2.25</w:t>
            </w:r>
          </w:p>
        </w:tc>
        <w:tc>
          <w:tcPr>
            <w:tcW w:w="629" w:type="pct"/>
          </w:tcPr>
          <w:p w14:paraId="2E22CB98" w14:textId="77777777" w:rsidR="00A71F44" w:rsidRDefault="00A71F44" w:rsidP="00B2130E">
            <w:pPr>
              <w:jc w:val="center"/>
              <w:rPr>
                <w:kern w:val="2"/>
                <w:sz w:val="21"/>
                <w:szCs w:val="21"/>
              </w:rPr>
            </w:pPr>
            <w:r>
              <w:rPr>
                <w:kern w:val="2"/>
                <w:sz w:val="21"/>
                <w:szCs w:val="21"/>
              </w:rPr>
              <w:t>2.26-3.00</w:t>
            </w:r>
          </w:p>
        </w:tc>
      </w:tr>
      <w:tr w:rsidR="00A71F44" w14:paraId="305B92E9" w14:textId="77777777" w:rsidTr="00B2130E">
        <w:trPr>
          <w:trHeight w:val="141"/>
        </w:trPr>
        <w:tc>
          <w:tcPr>
            <w:tcW w:w="1011" w:type="pct"/>
            <w:vMerge/>
            <w:tcBorders>
              <w:bottom w:val="single" w:sz="12" w:space="0" w:color="auto"/>
            </w:tcBorders>
          </w:tcPr>
          <w:p w14:paraId="1B93399A" w14:textId="77777777" w:rsidR="00A71F44" w:rsidRDefault="00A71F44" w:rsidP="00B2130E">
            <w:pPr>
              <w:jc w:val="center"/>
              <w:rPr>
                <w:kern w:val="2"/>
                <w:sz w:val="24"/>
                <w:szCs w:val="24"/>
              </w:rPr>
            </w:pPr>
          </w:p>
        </w:tc>
        <w:tc>
          <w:tcPr>
            <w:tcW w:w="911" w:type="pct"/>
            <w:tcBorders>
              <w:bottom w:val="single" w:sz="12" w:space="0" w:color="auto"/>
            </w:tcBorders>
          </w:tcPr>
          <w:p w14:paraId="7A1593DF" w14:textId="77777777" w:rsidR="00A71F44" w:rsidRDefault="00A71F44" w:rsidP="00B2130E">
            <w:pPr>
              <w:jc w:val="center"/>
              <w:rPr>
                <w:kern w:val="2"/>
                <w:sz w:val="21"/>
                <w:szCs w:val="21"/>
              </w:rPr>
            </w:pPr>
            <w:r>
              <w:rPr>
                <w:rFonts w:eastAsia="等线"/>
                <w:kern w:val="2"/>
                <w:sz w:val="18"/>
                <w:szCs w:val="18"/>
              </w:rPr>
              <w:t>Evaluation Grade</w:t>
            </w:r>
          </w:p>
        </w:tc>
        <w:tc>
          <w:tcPr>
            <w:tcW w:w="911" w:type="pct"/>
            <w:tcBorders>
              <w:bottom w:val="single" w:sz="12" w:space="0" w:color="auto"/>
            </w:tcBorders>
          </w:tcPr>
          <w:p w14:paraId="28D6C46E" w14:textId="77777777" w:rsidR="00A71F44" w:rsidRDefault="00A71F44" w:rsidP="00B2130E">
            <w:pPr>
              <w:jc w:val="center"/>
              <w:rPr>
                <w:kern w:val="2"/>
                <w:sz w:val="21"/>
                <w:szCs w:val="21"/>
              </w:rPr>
            </w:pPr>
            <w:r>
              <w:rPr>
                <w:rFonts w:eastAsia="等线"/>
                <w:kern w:val="2"/>
                <w:sz w:val="18"/>
                <w:szCs w:val="18"/>
              </w:rPr>
              <w:t>Evaluation Grade</w:t>
            </w:r>
          </w:p>
        </w:tc>
        <w:tc>
          <w:tcPr>
            <w:tcW w:w="905" w:type="pct"/>
            <w:tcBorders>
              <w:bottom w:val="single" w:sz="12" w:space="0" w:color="auto"/>
            </w:tcBorders>
          </w:tcPr>
          <w:p w14:paraId="523A7186" w14:textId="77777777" w:rsidR="00A71F44" w:rsidRDefault="00A71F44" w:rsidP="00B2130E">
            <w:pPr>
              <w:jc w:val="center"/>
              <w:rPr>
                <w:kern w:val="2"/>
                <w:sz w:val="21"/>
                <w:szCs w:val="21"/>
              </w:rPr>
            </w:pPr>
            <w:r>
              <w:rPr>
                <w:rFonts w:eastAsia="等线"/>
                <w:kern w:val="2"/>
                <w:sz w:val="18"/>
                <w:szCs w:val="18"/>
              </w:rPr>
              <w:t>Low Consistency</w:t>
            </w:r>
          </w:p>
        </w:tc>
        <w:tc>
          <w:tcPr>
            <w:tcW w:w="631" w:type="pct"/>
            <w:tcBorders>
              <w:bottom w:val="single" w:sz="12" w:space="0" w:color="auto"/>
            </w:tcBorders>
          </w:tcPr>
          <w:p w14:paraId="2721F90C" w14:textId="77777777" w:rsidR="00A71F44" w:rsidRDefault="00A71F44" w:rsidP="00B2130E">
            <w:pPr>
              <w:jc w:val="center"/>
              <w:rPr>
                <w:kern w:val="2"/>
                <w:sz w:val="21"/>
                <w:szCs w:val="21"/>
              </w:rPr>
            </w:pPr>
            <w:r>
              <w:rPr>
                <w:rFonts w:eastAsia="等线"/>
                <w:kern w:val="2"/>
                <w:sz w:val="18"/>
                <w:szCs w:val="18"/>
              </w:rPr>
              <w:t>Acceptable</w:t>
            </w:r>
          </w:p>
        </w:tc>
        <w:tc>
          <w:tcPr>
            <w:tcW w:w="629" w:type="pct"/>
            <w:tcBorders>
              <w:bottom w:val="single" w:sz="12" w:space="0" w:color="auto"/>
            </w:tcBorders>
          </w:tcPr>
          <w:p w14:paraId="5D5C1341" w14:textId="77777777" w:rsidR="00A71F44" w:rsidRDefault="00A71F44" w:rsidP="00B2130E">
            <w:pPr>
              <w:jc w:val="center"/>
              <w:rPr>
                <w:kern w:val="2"/>
                <w:sz w:val="21"/>
                <w:szCs w:val="21"/>
              </w:rPr>
            </w:pPr>
            <w:r>
              <w:rPr>
                <w:rFonts w:eastAsia="等线"/>
                <w:kern w:val="2"/>
                <w:sz w:val="18"/>
                <w:szCs w:val="18"/>
              </w:rPr>
              <w:t>Perfect</w:t>
            </w:r>
          </w:p>
        </w:tc>
      </w:tr>
    </w:tbl>
    <w:p w14:paraId="441FB682" w14:textId="77777777" w:rsidR="00A71F44" w:rsidRDefault="00A71F44" w:rsidP="00A71F44">
      <w:pPr>
        <w:spacing w:after="0" w:line="240" w:lineRule="auto"/>
        <w:jc w:val="center"/>
        <w:rPr>
          <w:rFonts w:ascii="Times New Roman" w:eastAsia="等线" w:hAnsi="Times New Roman" w:cs="Times New Roman"/>
          <w:sz w:val="20"/>
          <w:szCs w:val="20"/>
        </w:rPr>
      </w:pPr>
    </w:p>
    <w:p w14:paraId="0055F5EB" w14:textId="77777777" w:rsidR="006F133D" w:rsidRPr="00B85A66" w:rsidRDefault="006F133D" w:rsidP="00A71F44">
      <w:pPr>
        <w:widowControl/>
        <w:spacing w:after="0" w:line="360" w:lineRule="auto"/>
        <w:ind w:firstLineChars="200" w:firstLine="440"/>
        <w:jc w:val="center"/>
        <w:rPr>
          <w:rFonts w:ascii="Times New Roman" w:hAnsi="Times New Roman" w:cs="Times New Roman"/>
        </w:rPr>
      </w:pPr>
    </w:p>
    <w:sectPr w:rsidR="006F133D" w:rsidRPr="00B85A6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46674" w14:textId="77777777" w:rsidR="0084540F" w:rsidRDefault="0084540F" w:rsidP="008140D7">
      <w:pPr>
        <w:spacing w:after="0" w:line="240" w:lineRule="auto"/>
        <w:rPr>
          <w:rFonts w:hint="eastAsia"/>
        </w:rPr>
      </w:pPr>
      <w:r>
        <w:separator/>
      </w:r>
    </w:p>
  </w:endnote>
  <w:endnote w:type="continuationSeparator" w:id="0">
    <w:p w14:paraId="0BB2A80D" w14:textId="77777777" w:rsidR="0084540F" w:rsidRDefault="0084540F" w:rsidP="008140D7">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7C368" w14:textId="77777777" w:rsidR="00B85A66" w:rsidRDefault="00B85A66">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1005" w14:textId="079793CE" w:rsidR="008140D7" w:rsidRDefault="008140D7">
    <w:pPr>
      <w:pStyle w:val="af0"/>
      <w:rPr>
        <w:rFonts w:hint="eastAsia"/>
      </w:rPr>
    </w:pPr>
    <w:r>
      <w:rPr>
        <w:rFonts w:hint="eastAsia"/>
      </w:rPr>
      <w:tab/>
    </w:r>
    <w:r>
      <w:rPr>
        <w:rFonts w:hint="eastAsia"/>
      </w:rPr>
      <w:tab/>
    </w:r>
    <w:r>
      <w:rPr>
        <w:noProof/>
      </w:rPr>
      <mc:AlternateContent>
        <mc:Choice Requires="wps">
          <w:drawing>
            <wp:anchor distT="0" distB="0" distL="114300" distR="114300" simplePos="0" relativeHeight="251659264" behindDoc="0" locked="0" layoutInCell="1" allowOverlap="1" wp14:anchorId="68E90289" wp14:editId="4E1342CC">
              <wp:simplePos x="0" y="0"/>
              <wp:positionH relativeFrom="margin">
                <wp:align>inside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65298"/>
                          </w:sdtPr>
                          <w:sdtContent>
                            <w:p w14:paraId="13E74377" w14:textId="77777777" w:rsidR="008140D7" w:rsidRDefault="008140D7">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2A13F181" w14:textId="77777777" w:rsidR="008140D7" w:rsidRDefault="008140D7">
                          <w:pPr>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E90289"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sdt>
                    <w:sdtPr>
                      <w:id w:val="147465298"/>
                    </w:sdtPr>
                    <w:sdtContent>
                      <w:p w14:paraId="13E74377" w14:textId="77777777" w:rsidR="008140D7" w:rsidRDefault="008140D7">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2A13F181" w14:textId="77777777" w:rsidR="008140D7" w:rsidRDefault="008140D7">
                    <w:pPr>
                      <w:rPr>
                        <w:rFonts w:hint="eastAsia"/>
                      </w:rPr>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6FD12" w14:textId="77777777" w:rsidR="00B85A66" w:rsidRDefault="00B85A66">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BB62C" w14:textId="77777777" w:rsidR="0084540F" w:rsidRDefault="0084540F" w:rsidP="008140D7">
      <w:pPr>
        <w:spacing w:after="0" w:line="240" w:lineRule="auto"/>
        <w:rPr>
          <w:rFonts w:hint="eastAsia"/>
        </w:rPr>
      </w:pPr>
      <w:r>
        <w:separator/>
      </w:r>
    </w:p>
  </w:footnote>
  <w:footnote w:type="continuationSeparator" w:id="0">
    <w:p w14:paraId="54A831DE" w14:textId="77777777" w:rsidR="0084540F" w:rsidRDefault="0084540F" w:rsidP="008140D7">
      <w:pPr>
        <w:spacing w:after="0" w:line="240" w:lineRule="auto"/>
        <w:rPr>
          <w:rFonts w:hint="eastAsia"/>
        </w:rPr>
      </w:pPr>
      <w:r>
        <w:continuationSeparator/>
      </w:r>
    </w:p>
  </w:footnote>
  <w:footnote w:id="1">
    <w:p w14:paraId="41E55418" w14:textId="77777777" w:rsidR="00B85A66" w:rsidRDefault="00B85A66" w:rsidP="00B85A66">
      <w:pPr>
        <w:pStyle w:val="af2"/>
        <w:ind w:firstLine="360"/>
        <w:rPr>
          <w:rFonts w:hint="eastAsia"/>
        </w:rPr>
      </w:pPr>
      <w:r>
        <w:rPr>
          <w:rStyle w:val="af5"/>
          <w:rFonts w:hint="eastAsia"/>
        </w:rPr>
        <w:footnoteRef/>
      </w:r>
      <w:r>
        <w:rPr>
          <w:rFonts w:hint="eastAsia"/>
        </w:rPr>
        <w:t xml:space="preserve"> </w:t>
      </w:r>
      <w:r w:rsidRPr="007C5B1D">
        <w:rPr>
          <w:rFonts w:ascii="Times New Roman" w:hAnsi="Times New Roman" w:cs="Times New Roman"/>
        </w:rPr>
        <w:t xml:space="preserve">For </w:t>
      </w:r>
      <w:r w:rsidRPr="007C5B1D">
        <w:rPr>
          <w:rFonts w:ascii="Times New Roman" w:eastAsia="宋体" w:hAnsi="Times New Roman" w:cs="Times New Roman"/>
        </w:rPr>
        <w:t>X</w:t>
      </w:r>
      <w:r w:rsidRPr="007C5B1D">
        <w:rPr>
          <w:rFonts w:ascii="Times New Roman" w:eastAsia="宋体" w:hAnsi="Times New Roman" w:cs="Times New Roman"/>
          <w:vertAlign w:val="subscript"/>
        </w:rPr>
        <w:t>6</w:t>
      </w:r>
      <w:r w:rsidRPr="007C5B1D">
        <w:rPr>
          <w:rFonts w:ascii="Times New Roman" w:hAnsi="Times New Roman" w:cs="Times New Roman"/>
        </w:rPr>
        <w:t xml:space="preserve"> (Legal Force), its subordinate secondary indicators are mutually exclusive. Existing research presents three scoring methods: The first method assigns a score of 1 only to the relevant secondary indicator. For instance, if a policy is a local normative document, then</w:t>
      </w:r>
      <w:r w:rsidRPr="007C5B1D">
        <w:rPr>
          <w:rFonts w:ascii="Times New Roman" w:eastAsia="宋体" w:hAnsi="Times New Roman" w:cs="Times New Roman"/>
        </w:rPr>
        <w:t xml:space="preserve"> X</w:t>
      </w:r>
      <w:r w:rsidRPr="007C5B1D">
        <w:rPr>
          <w:rFonts w:ascii="Times New Roman" w:eastAsia="宋体" w:hAnsi="Times New Roman" w:cs="Times New Roman"/>
          <w:vertAlign w:val="subscript"/>
        </w:rPr>
        <w:t>6-1</w:t>
      </w:r>
      <w:r w:rsidRPr="007C5B1D">
        <w:rPr>
          <w:rFonts w:ascii="Times New Roman" w:hAnsi="Times New Roman" w:cs="Times New Roman"/>
        </w:rPr>
        <w:t xml:space="preserve"> (Local Regulations) and </w:t>
      </w:r>
      <w:r w:rsidRPr="007C5B1D">
        <w:rPr>
          <w:rFonts w:ascii="Times New Roman" w:eastAsia="宋体" w:hAnsi="Times New Roman" w:cs="Times New Roman"/>
        </w:rPr>
        <w:t>X</w:t>
      </w:r>
      <w:r w:rsidRPr="007C5B1D">
        <w:rPr>
          <w:rFonts w:ascii="Times New Roman" w:eastAsia="宋体" w:hAnsi="Times New Roman" w:cs="Times New Roman"/>
          <w:vertAlign w:val="subscript"/>
        </w:rPr>
        <w:t>6-3</w:t>
      </w:r>
      <w:r w:rsidRPr="007C5B1D">
        <w:rPr>
          <w:rFonts w:ascii="Times New Roman" w:hAnsi="Times New Roman" w:cs="Times New Roman"/>
        </w:rPr>
        <w:t xml:space="preserve"> (Local Working Documents) would be scored as 0, while </w:t>
      </w:r>
      <w:r w:rsidRPr="007C5B1D">
        <w:rPr>
          <w:rFonts w:ascii="Times New Roman" w:eastAsia="宋体" w:hAnsi="Times New Roman" w:cs="Times New Roman"/>
        </w:rPr>
        <w:t>X</w:t>
      </w:r>
      <w:r w:rsidRPr="007C5B1D">
        <w:rPr>
          <w:rFonts w:ascii="Times New Roman" w:eastAsia="宋体" w:hAnsi="Times New Roman" w:cs="Times New Roman"/>
          <w:vertAlign w:val="subscript"/>
        </w:rPr>
        <w:t>6-2</w:t>
      </w:r>
      <w:r w:rsidRPr="007C5B1D">
        <w:rPr>
          <w:rFonts w:ascii="Times New Roman" w:hAnsi="Times New Roman" w:cs="Times New Roman"/>
        </w:rPr>
        <w:t xml:space="preserve"> (Local Normative Documents) would be scored as 1. However, adopting this method requires adjusting the scoring range. Since each policy document corresponds to only one level of legal force, the total score range needs to be reduced from 0-9 to 0-8.33. The second method eliminates the secondary variables and simply scores </w:t>
      </w:r>
      <w:r w:rsidRPr="007C5B1D">
        <w:rPr>
          <w:rFonts w:ascii="Times New Roman" w:eastAsia="宋体" w:hAnsi="Times New Roman" w:cs="Times New Roman"/>
        </w:rPr>
        <w:t>X</w:t>
      </w:r>
      <w:r w:rsidRPr="007C5B1D">
        <w:rPr>
          <w:rFonts w:ascii="Times New Roman" w:eastAsia="宋体" w:hAnsi="Times New Roman" w:cs="Times New Roman"/>
          <w:vertAlign w:val="subscript"/>
        </w:rPr>
        <w:t>6</w:t>
      </w:r>
      <w:r w:rsidRPr="007C5B1D">
        <w:rPr>
          <w:rFonts w:ascii="Times New Roman" w:hAnsi="Times New Roman" w:cs="Times New Roman"/>
        </w:rPr>
        <w:t xml:space="preserve"> (Legal Force) as 1 if any level is involved. Both of these approaches obscure the nuanced implications conveyed by different levels of legal force, thereby diminishing the significance of this indicator. The third method assigns scores based on the hierarchy of legal force, meaning that the indicator corresponding to the policy's own level and all lower levels are scored as 1. For example, if a policy is a local normative document, then </w:t>
      </w:r>
      <w:r w:rsidRPr="007C5B1D">
        <w:rPr>
          <w:rFonts w:ascii="Times New Roman" w:eastAsia="宋体" w:hAnsi="Times New Roman" w:cs="Times New Roman"/>
        </w:rPr>
        <w:t>X</w:t>
      </w:r>
      <w:r w:rsidRPr="007C5B1D">
        <w:rPr>
          <w:rFonts w:ascii="Times New Roman" w:eastAsia="宋体" w:hAnsi="Times New Roman" w:cs="Times New Roman"/>
          <w:vertAlign w:val="subscript"/>
        </w:rPr>
        <w:t>6-1</w:t>
      </w:r>
      <w:r w:rsidRPr="007C5B1D">
        <w:rPr>
          <w:rFonts w:ascii="Times New Roman" w:hAnsi="Times New Roman" w:cs="Times New Roman"/>
        </w:rPr>
        <w:t xml:space="preserve"> (Local Regulations) is scored as 0, while both </w:t>
      </w:r>
      <w:r w:rsidRPr="007C5B1D">
        <w:rPr>
          <w:rFonts w:ascii="Times New Roman" w:eastAsia="宋体" w:hAnsi="Times New Roman" w:cs="Times New Roman"/>
        </w:rPr>
        <w:t>X</w:t>
      </w:r>
      <w:r w:rsidRPr="007C5B1D">
        <w:rPr>
          <w:rFonts w:ascii="Times New Roman" w:eastAsia="宋体" w:hAnsi="Times New Roman" w:cs="Times New Roman"/>
          <w:vertAlign w:val="subscript"/>
        </w:rPr>
        <w:t>6-2</w:t>
      </w:r>
      <w:r w:rsidRPr="007C5B1D">
        <w:rPr>
          <w:rFonts w:ascii="Times New Roman" w:hAnsi="Times New Roman" w:cs="Times New Roman"/>
        </w:rPr>
        <w:t xml:space="preserve"> (Local Normative Documents) and </w:t>
      </w:r>
      <w:r w:rsidRPr="007C5B1D">
        <w:rPr>
          <w:rFonts w:ascii="Times New Roman" w:eastAsia="宋体" w:hAnsi="Times New Roman" w:cs="Times New Roman"/>
        </w:rPr>
        <w:t>X</w:t>
      </w:r>
      <w:r w:rsidRPr="007C5B1D">
        <w:rPr>
          <w:rFonts w:ascii="Times New Roman" w:eastAsia="宋体" w:hAnsi="Times New Roman" w:cs="Times New Roman"/>
          <w:vertAlign w:val="subscript"/>
        </w:rPr>
        <w:t>6-3</w:t>
      </w:r>
      <w:r w:rsidRPr="007C5B1D">
        <w:rPr>
          <w:rFonts w:ascii="Times New Roman" w:hAnsi="Times New Roman" w:cs="Times New Roman"/>
        </w:rPr>
        <w:t xml:space="preserve"> (Local Working Documents) are scored as 1. This method effectively reflects the varying legal force hierarchies of different policies through the scores. Therefore, the third scoring method is adopted here.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10C97" w14:textId="77777777" w:rsidR="00B85A66" w:rsidRDefault="00B85A66">
    <w:pPr>
      <w:pStyle w:val="a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C65F" w14:textId="77777777" w:rsidR="00B85A66" w:rsidRDefault="00B85A66">
    <w:pPr>
      <w:pStyle w:val="a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21FBD" w14:textId="77777777" w:rsidR="00B85A66" w:rsidRDefault="00B85A66">
    <w:pPr>
      <w:pStyle w:val="a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461BF0"/>
    <w:multiLevelType w:val="multilevel"/>
    <w:tmpl w:val="D5665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59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A37"/>
    <w:rsid w:val="00097F21"/>
    <w:rsid w:val="001038C1"/>
    <w:rsid w:val="003E5972"/>
    <w:rsid w:val="006F133D"/>
    <w:rsid w:val="007E7358"/>
    <w:rsid w:val="008140D7"/>
    <w:rsid w:val="0084540F"/>
    <w:rsid w:val="00A71F44"/>
    <w:rsid w:val="00A9190B"/>
    <w:rsid w:val="00B26D40"/>
    <w:rsid w:val="00B85A66"/>
    <w:rsid w:val="00C61A37"/>
    <w:rsid w:val="00D57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2BC673"/>
  <w15:chartTrackingRefBased/>
  <w15:docId w15:val="{05A317FB-FA9F-473F-B4E5-8CAB394DF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61A3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61A3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61A3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C61A3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61A37"/>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61A37"/>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61A37"/>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61A37"/>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61A37"/>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61A3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61A3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61A3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61A37"/>
    <w:rPr>
      <w:rFonts w:cstheme="majorBidi"/>
      <w:color w:val="0F4761" w:themeColor="accent1" w:themeShade="BF"/>
      <w:sz w:val="28"/>
      <w:szCs w:val="28"/>
    </w:rPr>
  </w:style>
  <w:style w:type="character" w:customStyle="1" w:styleId="50">
    <w:name w:val="标题 5 字符"/>
    <w:basedOn w:val="a0"/>
    <w:link w:val="5"/>
    <w:uiPriority w:val="9"/>
    <w:semiHidden/>
    <w:rsid w:val="00C61A37"/>
    <w:rPr>
      <w:rFonts w:cstheme="majorBidi"/>
      <w:color w:val="0F4761" w:themeColor="accent1" w:themeShade="BF"/>
      <w:sz w:val="24"/>
    </w:rPr>
  </w:style>
  <w:style w:type="character" w:customStyle="1" w:styleId="60">
    <w:name w:val="标题 6 字符"/>
    <w:basedOn w:val="a0"/>
    <w:link w:val="6"/>
    <w:uiPriority w:val="9"/>
    <w:semiHidden/>
    <w:rsid w:val="00C61A37"/>
    <w:rPr>
      <w:rFonts w:cstheme="majorBidi"/>
      <w:b/>
      <w:bCs/>
      <w:color w:val="0F4761" w:themeColor="accent1" w:themeShade="BF"/>
    </w:rPr>
  </w:style>
  <w:style w:type="character" w:customStyle="1" w:styleId="70">
    <w:name w:val="标题 7 字符"/>
    <w:basedOn w:val="a0"/>
    <w:link w:val="7"/>
    <w:uiPriority w:val="9"/>
    <w:semiHidden/>
    <w:rsid w:val="00C61A37"/>
    <w:rPr>
      <w:rFonts w:cstheme="majorBidi"/>
      <w:b/>
      <w:bCs/>
      <w:color w:val="595959" w:themeColor="text1" w:themeTint="A6"/>
    </w:rPr>
  </w:style>
  <w:style w:type="character" w:customStyle="1" w:styleId="80">
    <w:name w:val="标题 8 字符"/>
    <w:basedOn w:val="a0"/>
    <w:link w:val="8"/>
    <w:uiPriority w:val="9"/>
    <w:semiHidden/>
    <w:rsid w:val="00C61A37"/>
    <w:rPr>
      <w:rFonts w:cstheme="majorBidi"/>
      <w:color w:val="595959" w:themeColor="text1" w:themeTint="A6"/>
    </w:rPr>
  </w:style>
  <w:style w:type="character" w:customStyle="1" w:styleId="90">
    <w:name w:val="标题 9 字符"/>
    <w:basedOn w:val="a0"/>
    <w:link w:val="9"/>
    <w:uiPriority w:val="9"/>
    <w:semiHidden/>
    <w:rsid w:val="00C61A37"/>
    <w:rPr>
      <w:rFonts w:eastAsiaTheme="majorEastAsia" w:cstheme="majorBidi"/>
      <w:color w:val="595959" w:themeColor="text1" w:themeTint="A6"/>
    </w:rPr>
  </w:style>
  <w:style w:type="paragraph" w:styleId="a3">
    <w:name w:val="Title"/>
    <w:basedOn w:val="a"/>
    <w:next w:val="a"/>
    <w:link w:val="a4"/>
    <w:uiPriority w:val="10"/>
    <w:qFormat/>
    <w:rsid w:val="00C61A3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61A3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61A3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61A3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61A37"/>
    <w:pPr>
      <w:spacing w:before="160"/>
      <w:jc w:val="center"/>
    </w:pPr>
    <w:rPr>
      <w:i/>
      <w:iCs/>
      <w:color w:val="404040" w:themeColor="text1" w:themeTint="BF"/>
    </w:rPr>
  </w:style>
  <w:style w:type="character" w:customStyle="1" w:styleId="a8">
    <w:name w:val="引用 字符"/>
    <w:basedOn w:val="a0"/>
    <w:link w:val="a7"/>
    <w:uiPriority w:val="29"/>
    <w:rsid w:val="00C61A37"/>
    <w:rPr>
      <w:i/>
      <w:iCs/>
      <w:color w:val="404040" w:themeColor="text1" w:themeTint="BF"/>
    </w:rPr>
  </w:style>
  <w:style w:type="paragraph" w:styleId="a9">
    <w:name w:val="List Paragraph"/>
    <w:basedOn w:val="a"/>
    <w:uiPriority w:val="34"/>
    <w:qFormat/>
    <w:rsid w:val="00C61A37"/>
    <w:pPr>
      <w:ind w:left="720"/>
      <w:contextualSpacing/>
    </w:pPr>
  </w:style>
  <w:style w:type="character" w:styleId="aa">
    <w:name w:val="Intense Emphasis"/>
    <w:basedOn w:val="a0"/>
    <w:uiPriority w:val="21"/>
    <w:qFormat/>
    <w:rsid w:val="00C61A37"/>
    <w:rPr>
      <w:i/>
      <w:iCs/>
      <w:color w:val="0F4761" w:themeColor="accent1" w:themeShade="BF"/>
    </w:rPr>
  </w:style>
  <w:style w:type="paragraph" w:styleId="ab">
    <w:name w:val="Intense Quote"/>
    <w:basedOn w:val="a"/>
    <w:next w:val="a"/>
    <w:link w:val="ac"/>
    <w:uiPriority w:val="30"/>
    <w:qFormat/>
    <w:rsid w:val="00C61A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61A37"/>
    <w:rPr>
      <w:i/>
      <w:iCs/>
      <w:color w:val="0F4761" w:themeColor="accent1" w:themeShade="BF"/>
    </w:rPr>
  </w:style>
  <w:style w:type="character" w:styleId="ad">
    <w:name w:val="Intense Reference"/>
    <w:basedOn w:val="a0"/>
    <w:uiPriority w:val="32"/>
    <w:qFormat/>
    <w:rsid w:val="00C61A37"/>
    <w:rPr>
      <w:b/>
      <w:bCs/>
      <w:smallCaps/>
      <w:color w:val="0F4761" w:themeColor="accent1" w:themeShade="BF"/>
      <w:spacing w:val="5"/>
    </w:rPr>
  </w:style>
  <w:style w:type="paragraph" w:styleId="ae">
    <w:name w:val="header"/>
    <w:basedOn w:val="a"/>
    <w:link w:val="af"/>
    <w:uiPriority w:val="99"/>
    <w:unhideWhenUsed/>
    <w:rsid w:val="008140D7"/>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8140D7"/>
    <w:rPr>
      <w:sz w:val="18"/>
      <w:szCs w:val="18"/>
    </w:rPr>
  </w:style>
  <w:style w:type="paragraph" w:styleId="af0">
    <w:name w:val="footer"/>
    <w:basedOn w:val="a"/>
    <w:link w:val="af1"/>
    <w:uiPriority w:val="99"/>
    <w:unhideWhenUsed/>
    <w:rsid w:val="008140D7"/>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8140D7"/>
    <w:rPr>
      <w:sz w:val="18"/>
      <w:szCs w:val="18"/>
    </w:rPr>
  </w:style>
  <w:style w:type="paragraph" w:styleId="af2">
    <w:name w:val="footnote text"/>
    <w:basedOn w:val="a"/>
    <w:link w:val="af3"/>
    <w:uiPriority w:val="99"/>
    <w:semiHidden/>
    <w:unhideWhenUsed/>
    <w:rsid w:val="008140D7"/>
    <w:pPr>
      <w:snapToGrid w:val="0"/>
    </w:pPr>
    <w:rPr>
      <w:sz w:val="18"/>
      <w:szCs w:val="18"/>
    </w:rPr>
  </w:style>
  <w:style w:type="character" w:customStyle="1" w:styleId="af3">
    <w:name w:val="脚注文本 字符"/>
    <w:basedOn w:val="a0"/>
    <w:link w:val="af2"/>
    <w:uiPriority w:val="99"/>
    <w:semiHidden/>
    <w:rsid w:val="008140D7"/>
    <w:rPr>
      <w:sz w:val="18"/>
      <w:szCs w:val="18"/>
    </w:rPr>
  </w:style>
  <w:style w:type="table" w:styleId="af4">
    <w:name w:val="Table Grid"/>
    <w:basedOn w:val="a1"/>
    <w:uiPriority w:val="59"/>
    <w:qFormat/>
    <w:rsid w:val="008140D7"/>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otnote reference"/>
    <w:basedOn w:val="a0"/>
    <w:uiPriority w:val="99"/>
    <w:semiHidden/>
    <w:unhideWhenUsed/>
    <w:qFormat/>
    <w:rsid w:val="008140D7"/>
    <w:rPr>
      <w:vertAlign w:val="superscript"/>
    </w:rPr>
  </w:style>
  <w:style w:type="table" w:customStyle="1" w:styleId="11">
    <w:name w:val="网格型1"/>
    <w:basedOn w:val="a1"/>
    <w:uiPriority w:val="59"/>
    <w:qFormat/>
    <w:rsid w:val="008140D7"/>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清单表 6 彩色1"/>
    <w:basedOn w:val="a1"/>
    <w:uiPriority w:val="51"/>
    <w:qFormat/>
    <w:rsid w:val="008140D7"/>
    <w:pPr>
      <w:spacing w:after="0" w:line="240" w:lineRule="auto"/>
    </w:pPr>
    <w:rPr>
      <w:color w:val="000000"/>
      <w:kern w:val="0"/>
      <w:sz w:val="20"/>
      <w:szCs w:val="20"/>
      <w14:ligatures w14:val="none"/>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2375</Words>
  <Characters>14493</Characters>
  <Application>Microsoft Office Word</Application>
  <DocSecurity>0</DocSecurity>
  <Lines>1610</Lines>
  <Paragraphs>1124</Paragraphs>
  <ScaleCrop>false</ScaleCrop>
  <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少元 周</dc:creator>
  <cp:keywords/>
  <dc:description/>
  <cp:lastModifiedBy>少元 周</cp:lastModifiedBy>
  <cp:revision>5</cp:revision>
  <dcterms:created xsi:type="dcterms:W3CDTF">2026-01-23T08:20:00Z</dcterms:created>
  <dcterms:modified xsi:type="dcterms:W3CDTF">2026-01-23T13:44:00Z</dcterms:modified>
</cp:coreProperties>
</file>